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pic="http://schemas.openxmlformats.org/drawingml/2006/picture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line="1" w:lineRule="exact"/>
      </w:pPr>
      <w:r>
        <w:rPr>
          <w:noProof/>
        </w:rPr>
        <w:drawing>
          <wp:anchor distT="0" distB="0" distL="0" distR="0" simplePos="0" relativeHeight="1024" behindDoc="1" locked="0" layoutInCell="0" allowOverlap="1" hidden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07018" cy="1426209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7">
                      <a:alphaModFix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7018" cy="1426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1" w:lineRule="exact"/>
      </w:pPr>
      <w:r>
        <w:rPr>
          <w:noProof/>
        </w:rPr>
        <w:drawing>
          <wp:anchor distT="0" distB="0" distL="0" distR="0" simplePos="0" relativeHeight="3072" behindDoc="1" locked="0" layoutInCell="0" allowOverlap="1" hidden="0">
            <wp:simplePos x="0" y="0"/>
            <wp:positionH relativeFrom="page">
              <wp:posOffset>727074</wp:posOffset>
            </wp:positionH>
            <wp:positionV relativeFrom="page">
              <wp:posOffset>9364345</wp:posOffset>
            </wp:positionV>
            <wp:extent cx="6382385" cy="3"/>
            <wp:effectExtent l="0" t="0" r="0" b="0"/>
            <wp:wrapNone/>
            <wp:docPr id="2" name="Freeform: Shape 2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382385" cy="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6382385" h="0">
                          <a:moveTo>
                            <a:pt x="0" y="0"/>
                          </a:moveTo>
                          <a:lnTo>
                            <a:pt x="6382385" y="0"/>
                          </a:lnTo>
                          <a:close/>
                        </a:path>
                      </a:pathLst>
                    </a:custGeom>
                    <a:noFill/>
                    <a:ln w="9525">
                      <a:solidFill>
                        <a:srgbClr val="000000"/>
                      </a:solidFill>
                    </a:ln>
                  </wps:spPr>
                  <wps:bodyPr/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096" behindDoc="1" locked="0" layoutInCell="0" allowOverlap="1" hidden="0">
            <wp:simplePos x="0" y="0"/>
            <wp:positionH relativeFrom="page">
              <wp:posOffset>722375</wp:posOffset>
            </wp:positionH>
            <wp:positionV relativeFrom="page">
              <wp:posOffset>5314175</wp:posOffset>
            </wp:positionV>
            <wp:extent cx="6327647" cy="6108"/>
            <wp:effectExtent l="0" t="0" r="0" b="0"/>
            <wp:wrapNone/>
            <wp:docPr id="3" name="Freeform: Shape 3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327647" cy="6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6327647" h="6108">
                          <a:moveTo>
                            <a:pt x="0" y="6108"/>
                          </a:moveTo>
                          <a:lnTo>
                            <a:pt x="6327647" y="6108"/>
                          </a:lnTo>
                          <a:lnTo>
                            <a:pt x="6327647" y="0"/>
                          </a:lnTo>
                          <a:lnTo>
                            <a:pt x="0" y="0"/>
                          </a:lnTo>
                          <a:lnTo>
                            <a:pt x="0" y="6108"/>
                          </a:lnTo>
                          <a:close/>
                        </a:path>
                      </a:pathLst>
                    </a:custGeom>
                    <a:solidFill>
                      <a:srgbClr val="000000"/>
                    </a:solidFill>
                    <a:ln>
                      <a:noFill/>
                    </a:ln>
                  </wps:spPr>
                  <wps:bodyPr/>
                </wps:wsp>
              </a:graphicData>
            </a:graphic>
          </wp:anchor>
        </w:drawing>
      </w:r>
    </w:p>
    <w:p>
      <w:pPr>
        <w:spacing w:before="1979" w:line="206" w:lineRule="exact"/>
        <w:ind w:left="8546" w:right="1001"/>
      </w:pPr>
      <w:r>
        <w:rPr>
          <w:rStyle w:val="fontstyle01"/>
          <w:spacing w:val="-1"/>
        </w:rPr>
        <w:t xml:space="preserve">Volume 9, Number 2, April 2025</w:t>
      </w:r>
    </w:p>
    <w:p>
      <w:pPr>
        <w:spacing w:before="573" w:line="367" w:lineRule="exact"/>
        <w:ind w:left="1567" w:right="1570"/>
      </w:pPr>
      <w:r>
        <w:rPr>
          <w:rStyle w:val="fontstyle06"/>
          <w:spacing w:val="-1"/>
        </w:rPr>
        <w:t xml:space="preserve">2023–2024 Ratio of Students to Full-Time Equivalent School</w:t>
      </w:r>
    </w:p>
    <w:p>
      <w:pPr>
        <w:spacing w:before="0" w:line="367" w:lineRule="exact"/>
        <w:ind w:left="1202" w:right="1207"/>
      </w:pPr>
      <w:r>
        <w:rPr>
          <w:rStyle w:val="fontstyle06"/>
          <w:spacing w:val="-1"/>
        </w:rPr>
        <w:t xml:space="preserve">Psychologists in U.S. Public Elementary and Secondary Schools</w:t>
      </w:r>
    </w:p>
    <w:p>
      <w:pPr>
        <w:spacing w:before="349" w:line="229" w:lineRule="exact"/>
        <w:ind w:left="1180" w:right="1273"/>
      </w:pPr>
      <w:r>
        <w:rPr>
          <w:rStyle w:val="fontstyle14"/>
          <w:spacing w:val="-1"/>
        </w:rPr>
        <w:t xml:space="preserve">Nicholas W. Affrunti</w:t>
      </w:r>
      <w:r>
        <w:rPr>
          <w:rStyle w:val="fontstyle14"/>
          <w:spacing w:val="5218"/>
        </w:rPr>
        <w:t xml:space="preserve"> </w:t>
      </w:r>
      <w:r>
        <w:rPr>
          <w:rStyle w:val="fontstyle15"/>
          <w:spacing w:val="-1"/>
        </w:rPr>
        <w:t xml:space="preserve">Shereen Naser, PhD, Editor</w:t>
      </w:r>
    </w:p>
    <w:p>
      <w:pPr>
        <w:spacing w:before="1" w:line="229" w:lineRule="exact"/>
        <w:ind w:left="1180" w:right="1276"/>
      </w:pPr>
      <w:r>
        <w:rPr>
          <w:rStyle w:val="fontstyle09"/>
          <w:spacing w:val="-1"/>
        </w:rPr>
        <w:t xml:space="preserve">National Association of School Psychologists</w:t>
      </w:r>
      <w:r>
        <w:rPr>
          <w:rStyle w:val="fontstyle09"/>
          <w:spacing w:val="3406"/>
        </w:rPr>
        <w:t xml:space="preserve"> </w:t>
      </w:r>
      <w:r>
        <w:rPr>
          <w:rStyle w:val="fontstyle09"/>
          <w:spacing w:val="-1"/>
        </w:rPr>
        <w:t xml:space="preserve">Cleveland State University</w:t>
      </w:r>
    </w:p>
    <w:p>
      <w:pPr>
        <w:spacing w:before="102" w:line="229" w:lineRule="exact"/>
        <w:ind w:left="7610" w:right="1275"/>
      </w:pPr>
      <w:r>
        <w:rPr>
          <w:rStyle w:val="fontstyle15"/>
          <w:spacing w:val="-1"/>
        </w:rPr>
        <w:t xml:space="preserve">Nicholas W. Affrunti, PhD, Coeditor</w:t>
      </w:r>
    </w:p>
    <w:p>
      <w:pPr>
        <w:spacing w:before="1" w:line="229" w:lineRule="exact"/>
        <w:ind w:left="6984" w:right="1279"/>
      </w:pPr>
      <w:r>
        <w:rPr>
          <w:rStyle w:val="fontstyle09"/>
          <w:spacing w:val="-1"/>
        </w:rPr>
        <w:t xml:space="preserve">National Association of School Psychologists</w:t>
      </w:r>
    </w:p>
    <w:p>
      <w:pPr>
        <w:spacing w:before="618" w:line="298" w:lineRule="exact"/>
        <w:ind w:left="1166" w:right="9645"/>
      </w:pPr>
      <w:r>
        <w:rPr>
          <w:rStyle w:val="fontstyle07"/>
          <w:spacing w:val="-1"/>
        </w:rPr>
        <w:t xml:space="preserve">ABSTRACT</w:t>
      </w:r>
    </w:p>
    <w:p>
      <w:pPr>
        <w:spacing w:before="245" w:line="253" w:lineRule="exact"/>
        <w:ind w:left="1166" w:right="1531"/>
      </w:pPr>
      <w:r>
        <w:rPr>
          <w:rStyle w:val="fontstyle08"/>
          <w:spacing w:val="-1"/>
        </w:rPr>
        <w:t xml:space="preserve">The current brief summarizes the 2023–2024 school year’s student to school psychologist ratio for</w:t>
      </w:r>
    </w:p>
    <w:p>
      <w:pPr>
        <w:spacing w:before="0" w:line="253" w:lineRule="exact"/>
        <w:ind w:left="1166" w:right="1788"/>
      </w:pPr>
      <w:r>
        <w:rPr>
          <w:rStyle w:val="fontstyle08"/>
          <w:spacing w:val="-1"/>
        </w:rPr>
        <w:t xml:space="preserve">every United States territory, using the National Center for Education Statistics counts of school</w:t>
      </w:r>
    </w:p>
    <w:p>
      <w:pPr>
        <w:spacing w:before="0" w:line="251" w:lineRule="exact"/>
        <w:ind w:left="1166" w:right="1902"/>
      </w:pPr>
      <w:r>
        <w:rPr>
          <w:rStyle w:val="fontstyle08"/>
          <w:spacing w:val="-1"/>
        </w:rPr>
        <w:t xml:space="preserve">psychologists. Besides this, data are presented on the percentage change in student to school</w:t>
      </w:r>
    </w:p>
    <w:p>
      <w:pPr>
        <w:spacing w:before="0" w:line="251" w:lineRule="exact"/>
        <w:ind w:left="1166" w:right="1433"/>
      </w:pPr>
      <w:r>
        <w:rPr>
          <w:rStyle w:val="fontstyle08"/>
          <w:spacing w:val="-1"/>
        </w:rPr>
        <w:t xml:space="preserve">psychologist ratio from the 2022–2023 school year to the 2023–2024 school year (i.e., the currently</w:t>
      </w:r>
    </w:p>
    <w:p>
      <w:pPr>
        <w:spacing w:before="0" w:line="253" w:lineRule="exact"/>
        <w:ind w:left="1166" w:right="1582"/>
      </w:pPr>
      <w:r>
        <w:rPr>
          <w:rStyle w:val="fontstyle08"/>
          <w:spacing w:val="-1"/>
        </w:rPr>
        <w:t xml:space="preserve">released data). When territory ratios for the 2023–2024 school year were examined by region, the</w:t>
      </w:r>
    </w:p>
    <w:p>
      <w:pPr>
        <w:spacing w:before="0" w:line="251" w:lineRule="exact"/>
        <w:ind w:left="1166" w:right="1666"/>
      </w:pPr>
      <w:r>
        <w:rPr>
          <w:rStyle w:val="fontstyle08"/>
          <w:spacing w:val="-1"/>
        </w:rPr>
        <w:t xml:space="preserve">data displayed significant differences. No associations were found between the student to school</w:t>
      </w:r>
    </w:p>
    <w:p>
      <w:pPr>
        <w:spacing w:before="0" w:line="253" w:lineRule="exact"/>
        <w:ind w:left="1166" w:right="1341"/>
      </w:pPr>
      <w:r>
        <w:rPr>
          <w:rStyle w:val="fontstyle08"/>
          <w:spacing w:val="-1"/>
        </w:rPr>
        <w:t xml:space="preserve">psychologist ratio and territory population, the number of graduate programs in school psychology in</w:t>
      </w:r>
    </w:p>
    <w:p>
      <w:pPr>
        <w:spacing w:before="0" w:line="251" w:lineRule="exact"/>
        <w:ind w:left="1166" w:right="2072"/>
      </w:pPr>
      <w:r>
        <w:rPr>
          <w:rStyle w:val="fontstyle08"/>
          <w:spacing w:val="-1"/>
        </w:rPr>
        <w:t xml:space="preserve">that territory, or the average school psychologist’s salary. This information is vital for tracking</w:t>
      </w:r>
    </w:p>
    <w:p>
      <w:pPr>
        <w:spacing w:before="0" w:line="251" w:lineRule="exact"/>
        <w:ind w:left="1166" w:right="2695"/>
      </w:pPr>
      <w:r>
        <w:rPr>
          <w:rStyle w:val="fontstyle08"/>
          <w:spacing w:val="-1"/>
        </w:rPr>
        <w:t xml:space="preserve">workforce shortages, as well as the effects of advocacy efforts throughout the country.</w:t>
      </w:r>
    </w:p>
    <w:p>
      <w:pPr>
        <w:spacing w:before="155" w:line="229" w:lineRule="exact"/>
        <w:ind w:left="1166" w:right="4138"/>
      </w:pPr>
      <w:r>
        <w:rPr>
          <w:rStyle w:val="fontstyle09"/>
          <w:spacing w:val="-1"/>
        </w:rPr>
        <w:t xml:space="preserve">Keywords:</w:t>
      </w:r>
      <w:r>
        <w:rPr>
          <w:rStyle w:val="fontstyle10"/>
          <w:spacing w:val="-1"/>
        </w:rPr>
        <w:t xml:space="preserve"> School psychology, staffing, workforce, shortages, public education</w:t>
      </w:r>
    </w:p>
    <w:p>
      <w:pPr>
        <w:spacing w:before="244" w:line="206" w:lineRule="exact"/>
        <w:ind w:left="1166" w:right="1987"/>
      </w:pPr>
      <w:r>
        <w:rPr>
          <w:rStyle w:val="fontstyle11"/>
          <w:spacing w:val="-1"/>
        </w:rPr>
        <w:t xml:space="preserve">Correspondence regarding this article should be addressed to Nicholas W. Affrunti, National Association of School</w:t>
      </w:r>
    </w:p>
    <w:p>
      <w:pPr>
        <w:spacing w:before="0" w:line="206" w:lineRule="exact"/>
        <w:ind w:left="1166" w:right="1970"/>
      </w:pPr>
      <w:r>
        <w:rPr>
          <w:rStyle w:val="fontstyle11"/>
          <w:spacing w:val="-1"/>
        </w:rPr>
        <w:t xml:space="preserve">Psychologists, 4340 East West Highway, Suite 402, Bethesda, MD 20814; 301-657-1646; </w:t>
      </w:r>
      <w:r>
        <w:rPr>
          <w:rStyle w:val="fontstyle12"/>
          <w:spacing w:val="-1"/>
        </w:rPr>
        <w:t xml:space="preserve">n</w:t>
      </w:r>
      <w:r>
        <w:rPr>
          <w:rStyle w:val="fontstyle12"/>
          <w:spacing w:val="-1"/>
          <w:u w:val="single"/>
        </w:rPr>
        <w:t xml:space="preserve">affrunti@naspweb.org</w:t>
      </w:r>
      <w:r>
        <w:rPr>
          <w:rStyle w:val="fontstyle11"/>
          <w:spacing w:val="-1"/>
        </w:rPr>
        <w:t xml:space="preserve">.</w:t>
      </w:r>
    </w:p>
    <w:p>
      <w:pPr>
        <w:spacing w:before="444" w:line="253" w:lineRule="exact"/>
        <w:ind w:left="1166" w:right="1831"/>
      </w:pPr>
      <w:r>
        <w:rPr>
          <w:rStyle w:val="fontstyle08"/>
          <w:spacing w:val="-1"/>
        </w:rPr>
        <w:t xml:space="preserve">The National Center for Education Statistics (NCES), part of the U.S. Department of Education,</w:t>
      </w:r>
    </w:p>
    <w:p>
      <w:pPr>
        <w:spacing w:before="0" w:line="253" w:lineRule="exact"/>
        <w:ind w:left="1166" w:right="1570"/>
      </w:pPr>
      <w:r>
        <w:rPr>
          <w:rStyle w:val="fontstyle08"/>
          <w:spacing w:val="-1"/>
        </w:rPr>
        <w:t xml:space="preserve">annually releases its</w:t>
      </w:r>
      <w:r>
        <w:rPr>
          <w:rStyle w:val="fontstyle13"/>
          <w:spacing w:val="-1"/>
        </w:rPr>
        <w:t xml:space="preserve">Common Core of Data</w:t>
      </w:r>
      <w:r>
        <w:rPr>
          <w:rStyle w:val="fontstyle08"/>
          <w:spacing w:val="-1"/>
        </w:rPr>
        <w:t xml:space="preserve">(CCD), which includes a comprehensive database on</w:t>
      </w:r>
    </w:p>
    <w:p>
      <w:pPr>
        <w:spacing w:before="0" w:line="251" w:lineRule="exact"/>
        <w:ind w:left="1166" w:right="1242"/>
      </w:pPr>
      <w:r>
        <w:rPr>
          <w:rStyle w:val="fontstyle08"/>
          <w:spacing w:val="-1"/>
        </w:rPr>
        <w:t xml:space="preserve">public elementary and secondary education across the United States (NCES, 2025). Starting with the</w:t>
      </w:r>
    </w:p>
    <w:p>
      <w:pPr>
        <w:spacing w:before="0" w:line="253" w:lineRule="exact"/>
        <w:ind w:left="1166" w:right="1691"/>
      </w:pPr>
      <w:r>
        <w:rPr>
          <w:rStyle w:val="fontstyle08"/>
          <w:spacing w:val="-1"/>
        </w:rPr>
        <w:t xml:space="preserve">2019–2020 school year release and continuing with the current release of the 2023–2024 school</w:t>
      </w:r>
    </w:p>
    <w:p>
      <w:pPr>
        <w:spacing w:before="0" w:line="251" w:lineRule="exact"/>
        <w:ind w:left="1166" w:right="1303"/>
      </w:pPr>
      <w:r>
        <w:rPr>
          <w:rStyle w:val="fontstyle08"/>
          <w:spacing w:val="-1"/>
        </w:rPr>
        <w:t xml:space="preserve">year, this dataset includes counts of full-time equivalent (FTE) school psychologists. Because school</w:t>
      </w:r>
    </w:p>
    <w:p>
      <w:pPr>
        <w:spacing w:before="0" w:line="251" w:lineRule="exact"/>
        <w:ind w:left="1166" w:right="1621"/>
      </w:pPr>
      <w:r>
        <w:rPr>
          <w:rStyle w:val="fontstyle08"/>
          <w:spacing w:val="-1"/>
        </w:rPr>
        <w:t xml:space="preserve">psychologist counts are completed by territory, ratios of students to school psychologists for each</w:t>
      </w:r>
    </w:p>
    <w:p>
      <w:pPr>
        <w:spacing w:before="0" w:line="253" w:lineRule="exact"/>
        <w:ind w:left="1166" w:right="1352"/>
      </w:pPr>
      <w:r>
        <w:rPr>
          <w:rStyle w:val="fontstyle08"/>
          <w:spacing w:val="-1"/>
        </w:rPr>
        <w:t xml:space="preserve">territory are easily calculated. These data represent the most comprehensive attempt at determining</w:t>
      </w:r>
    </w:p>
    <w:p>
      <w:pPr>
        <w:spacing w:before="0" w:line="251" w:lineRule="exact"/>
        <w:ind w:left="1166" w:right="1557"/>
      </w:pPr>
      <w:r>
        <w:rPr>
          <w:rStyle w:val="fontstyle08"/>
          <w:spacing w:val="-1"/>
        </w:rPr>
        <w:t xml:space="preserve">ratios for each territory, as well as for the United States overall. For ease of reading, all states and</w:t>
      </w:r>
    </w:p>
    <w:p>
      <w:pPr>
        <w:spacing w:before="2" w:line="253" w:lineRule="exact"/>
        <w:ind w:left="1166" w:right="5948"/>
      </w:pPr>
      <w:r>
        <w:rPr>
          <w:rStyle w:val="fontstyle08"/>
          <w:spacing w:val="-1"/>
        </w:rPr>
        <w:t xml:space="preserve">territories will be referred to as territories in this brief.</w:t>
      </w:r>
    </w:p>
    <w:p>
      <w:pPr>
        <w:spacing w:before="194" w:line="253" w:lineRule="exact"/>
        <w:ind w:left="1166" w:right="1642"/>
      </w:pPr>
      <w:r>
        <w:rPr>
          <w:rStyle w:val="fontstyle08"/>
          <w:spacing w:val="-1"/>
        </w:rPr>
        <w:t xml:space="preserve">Tracking the ratio of students to school psychologists in each territory and for the nation is vital to</w:t>
      </w:r>
    </w:p>
    <w:p>
      <w:pPr>
        <w:spacing w:before="0" w:line="253" w:lineRule="exact"/>
        <w:ind w:left="1166" w:right="1193"/>
      </w:pPr>
      <w:r>
        <w:rPr>
          <w:rStyle w:val="fontstyle08"/>
          <w:spacing w:val="-1"/>
        </w:rPr>
        <w:t xml:space="preserve">understanding whether the school psychology workforce is growing to meet the increased demand for</w:t>
      </w:r>
    </w:p>
    <w:p>
      <w:pPr>
        <w:spacing w:before="0" w:line="251" w:lineRule="exact"/>
        <w:ind w:left="1166" w:right="2008"/>
      </w:pPr>
      <w:r>
        <w:rPr>
          <w:rStyle w:val="fontstyle08"/>
          <w:spacing w:val="-1"/>
        </w:rPr>
        <w:t xml:space="preserve">school psychological services. Additionally, it allows individuals engaging in advocacy around</w:t>
      </w:r>
    </w:p>
    <w:p>
      <w:pPr>
        <w:spacing w:before="0" w:line="253" w:lineRule="exact"/>
        <w:ind w:left="1166" w:right="1509"/>
      </w:pPr>
      <w:r>
        <w:rPr>
          <w:rStyle w:val="fontstyle08"/>
          <w:spacing w:val="-1"/>
        </w:rPr>
        <w:t xml:space="preserve">workforce shortages to know where efforts are improving ratios and where more resources are still</w:t>
      </w:r>
    </w:p>
    <w:p>
      <w:pPr>
        <w:spacing w:before="0" w:line="251" w:lineRule="exact"/>
        <w:ind w:left="1166" w:right="1251"/>
      </w:pPr>
      <w:r>
        <w:rPr>
          <w:rStyle w:val="fontstyle08"/>
          <w:spacing w:val="-1"/>
        </w:rPr>
        <w:t xml:space="preserve">needed. Addressing workforce shortages, indicated by student to school psychologist ratios, is also a</w:t>
      </w:r>
    </w:p>
    <w:p>
      <w:pPr>
        <w:spacing w:before="0" w:line="253" w:lineRule="exact"/>
        <w:ind w:left="1166" w:right="3844"/>
      </w:pPr>
      <w:r>
        <w:rPr>
          <w:rStyle w:val="fontstyle08"/>
          <w:spacing w:val="-1"/>
        </w:rPr>
        <w:t xml:space="preserve">strategic goal of the National Association of School Psychologists (NASP).</w:t>
      </w:r>
    </w:p>
    <w:p>
      <w:pPr>
        <w:spacing w:before="197" w:line="253" w:lineRule="exact"/>
        <w:ind w:left="1166" w:right="1522"/>
      </w:pPr>
      <w:r>
        <w:rPr>
          <w:rStyle w:val="fontstyle08"/>
          <w:spacing w:val="-1"/>
        </w:rPr>
        <w:t xml:space="preserve">This Data Brief reviews both the current year’s data and trends from the previous year, to examine</w:t>
      </w:r>
    </w:p>
    <w:p>
      <w:pPr>
        <w:spacing w:before="2" w:line="253" w:lineRule="exact"/>
        <w:ind w:left="1166" w:right="8784"/>
      </w:pPr>
      <w:r>
        <w:rPr>
          <w:rStyle w:val="fontstyle08"/>
          <w:spacing w:val="-1"/>
        </w:rPr>
        <w:t xml:space="preserve">the following questions:</w:t>
      </w:r>
    </w:p>
    <w:p>
      <w:pPr>
        <w:spacing w:before="432" w:line="184" w:lineRule="exact"/>
        <w:ind w:left="1166" w:right="1172"/>
      </w:pPr>
      <w:r>
        <w:rPr>
          <w:rStyle w:val="fontstyle02"/>
          <w:spacing w:val="-1"/>
        </w:rPr>
        <w:t xml:space="preserve">NASP Research Reports</w:t>
      </w:r>
      <w:r>
        <w:rPr>
          <w:rStyle w:val="fontstyle02"/>
          <w:spacing w:val="7905"/>
        </w:rPr>
        <w:t xml:space="preserve"> </w:t>
      </w:r>
      <w:r>
        <w:rPr>
          <w:rStyle w:val="fontstyle03"/>
          <w:spacing w:val="-1"/>
        </w:rPr>
        <w:t xml:space="preserve">1</w:t>
      </w:r>
    </w:p>
    <w:p>
      <w:pPr>
        <w:spacing w:before="57" w:line="184" w:lineRule="exact"/>
        <w:ind w:left="1166" w:right="2676"/>
      </w:pPr>
      <w:r>
        <w:rPr>
          <w:rStyle w:val="fontstyle03"/>
          <w:spacing w:val="2"/>
        </w:rPr>
        <w:t xml:space="preserve">©2025 National Association of School Psychologists </w:t>
      </w:r>
      <w:r>
        <w:rPr>
          <w:rStyle w:val="fontstyle04"/>
          <w:spacing w:val="23"/>
        </w:rPr>
        <w:t xml:space="preserve">│ </w:t>
      </w:r>
      <w:r>
        <w:rPr>
          <w:rStyle w:val="fontstyle05"/>
        </w:rPr>
        <w:t xml:space="preserve">w</w:t>
      </w:r>
      <w:r>
        <w:rPr>
          <w:rStyle w:val="fontstyle05"/>
          <w:spacing w:val="2"/>
          <w:u w:val="single"/>
        </w:rPr>
        <w:t xml:space="preserve">ww.nasponline.org</w:t>
      </w:r>
      <w:r>
        <w:rPr>
          <w:rStyle w:val="fontstyle04"/>
          <w:spacing w:val="32"/>
        </w:rPr>
        <w:t xml:space="preserve"> │ </w:t>
      </w:r>
      <w:r>
        <w:rPr>
          <w:rStyle w:val="fontstyle03"/>
          <w:spacing w:val="2"/>
        </w:rPr>
        <w:t xml:space="preserve">301-657-0270 </w:t>
      </w:r>
      <w:r>
        <w:rPr>
          <w:rStyle w:val="fontstyle04"/>
          <w:spacing w:val="24"/>
        </w:rPr>
        <w:t xml:space="preserve">│ </w:t>
      </w:r>
      <w:r>
        <w:rPr>
          <w:rStyle w:val="fontstyle03"/>
          <w:spacing w:val="2"/>
        </w:rPr>
        <w:t xml:space="preserve">866-331-6277</w:t>
      </w:r>
    </w:p>
    <w:p>
      <w:pPr>
        <w:sectPr>
          <w:pgSz w:w="12240" w:h="15840" w:orient="portrait"/>
          <w:pgMar w:top="0" w:right="0" w:bottom="0" w:left="0"/>
        </w:sectPr>
        <w:spacing w:line="1" w:lineRule="exact"/>
      </w:pPr>
    </w:p>
    <w:p>
      <w:pPr>
        <w:spacing w:line="1" w:lineRule="exact"/>
      </w:pPr>
      <w:r>
        <w:rPr>
          <w:noProof/>
        </w:rPr>
        <w:drawing>
          <wp:anchor distT="0" distB="0" distL="0" distR="0" simplePos="0" relativeHeight="7168" behindDoc="1" locked="0" layoutInCell="0" allowOverlap="1" hidden="0">
            <wp:simplePos x="0" y="0"/>
            <wp:positionH relativeFrom="page">
              <wp:posOffset>727074</wp:posOffset>
            </wp:positionH>
            <wp:positionV relativeFrom="page">
              <wp:posOffset>9368790</wp:posOffset>
            </wp:positionV>
            <wp:extent cx="6382385" cy="3"/>
            <wp:effectExtent l="0" t="0" r="0" b="0"/>
            <wp:wrapNone/>
            <wp:docPr id="4" name="Freeform: Shape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382385" cy="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6382385" h="0">
                          <a:moveTo>
                            <a:pt x="0" y="0"/>
                          </a:moveTo>
                          <a:lnTo>
                            <a:pt x="6382385" y="0"/>
                          </a:lnTo>
                          <a:close/>
                        </a:path>
                      </a:pathLst>
                    </a:custGeom>
                    <a:noFill/>
                    <a:ln w="9525">
                      <a:solidFill>
                        <a:srgbClr val="000000"/>
                      </a:solidFill>
                    </a:ln>
                  </wps:spPr>
                  <wps:bodyPr/>
                </wps:wsp>
              </a:graphicData>
            </a:graphic>
          </wp:anchor>
        </w:drawing>
      </w:r>
    </w:p>
    <w:p>
      <w:pPr>
        <w:spacing w:before="686" w:line="184" w:lineRule="exact"/>
        <w:ind w:left="1166" w:right="3239"/>
      </w:pPr>
      <w:r>
        <w:rPr>
          <w:rStyle w:val="fontstyle03"/>
          <w:spacing w:val="12"/>
        </w:rPr>
        <w:t xml:space="preserve">Data Brief: 2023–2024 Ratio of Students to FTE School Psychologists in U.S. Public Schools</w:t>
      </w:r>
    </w:p>
    <w:p>
      <w:pPr>
        <w:spacing w:before="377" w:line="253" w:lineRule="exact"/>
        <w:ind w:left="1166" w:right="2053"/>
      </w:pPr>
      <w:r>
        <w:rPr>
          <w:rStyle w:val="fontstyle16"/>
          <w:spacing w:val="39"/>
        </w:rPr>
        <w:t xml:space="preserve">• </w:t>
      </w:r>
      <w:r>
        <w:rPr>
          <w:rStyle w:val="fontstyle08"/>
          <w:spacing w:val="-1"/>
        </w:rPr>
        <w:t xml:space="preserve">What is each territory’s 2023–2024 school year ratio of students to school psychologists?</w:t>
      </w:r>
    </w:p>
    <w:p>
      <w:pPr>
        <w:spacing w:before="58" w:line="253" w:lineRule="exact"/>
        <w:ind w:left="1166" w:right="1457"/>
      </w:pPr>
      <w:r>
        <w:rPr>
          <w:rStyle w:val="fontstyle16"/>
          <w:spacing w:val="39"/>
        </w:rPr>
        <w:t xml:space="preserve">• </w:t>
      </w:r>
      <w:r>
        <w:rPr>
          <w:rStyle w:val="fontstyle08"/>
          <w:spacing w:val="-1"/>
        </w:rPr>
        <w:t xml:space="preserve">How many territories meet NASP’s recommended ratio of 500 students per school psychologist</w:t>
      </w:r>
    </w:p>
    <w:p>
      <w:pPr>
        <w:spacing w:before="0" w:line="253" w:lineRule="exact"/>
        <w:ind w:left="1526" w:right="9230"/>
      </w:pPr>
      <w:r>
        <w:rPr>
          <w:rStyle w:val="fontstyle08"/>
          <w:spacing w:val="-1"/>
        </w:rPr>
        <w:t xml:space="preserve">(NASP, 2020)?</w:t>
      </w:r>
    </w:p>
    <w:p>
      <w:pPr>
        <w:spacing w:before="58" w:line="253" w:lineRule="exact"/>
        <w:ind w:left="1166" w:right="3070"/>
      </w:pPr>
      <w:r>
        <w:rPr>
          <w:rStyle w:val="fontstyle16"/>
          <w:spacing w:val="39"/>
        </w:rPr>
        <w:t xml:space="preserve">• </w:t>
      </w:r>
      <w:r>
        <w:rPr>
          <w:rStyle w:val="fontstyle08"/>
          <w:spacing w:val="-1"/>
        </w:rPr>
        <w:t xml:space="preserve">What is the percentage change in each territory’s ratio from the previous year?</w:t>
      </w:r>
    </w:p>
    <w:p>
      <w:pPr>
        <w:spacing w:before="60" w:line="253" w:lineRule="exact"/>
        <w:ind w:left="1166" w:right="1942"/>
      </w:pPr>
      <w:r>
        <w:rPr>
          <w:rStyle w:val="fontstyle16"/>
          <w:spacing w:val="39"/>
        </w:rPr>
        <w:t xml:space="preserve">• </w:t>
      </w:r>
      <w:r>
        <w:rPr>
          <w:rStyle w:val="fontstyle08"/>
          <w:spacing w:val="-1"/>
        </w:rPr>
        <w:t xml:space="preserve">Are there differences in the student to school psychologist ratio by region, or are there any</w:t>
      </w:r>
    </w:p>
    <w:p>
      <w:pPr>
        <w:spacing w:before="0" w:line="251" w:lineRule="exact"/>
        <w:ind w:left="1526" w:right="1198"/>
      </w:pPr>
      <w:r>
        <w:rPr>
          <w:rStyle w:val="fontstyle08"/>
          <w:spacing w:val="-1"/>
        </w:rPr>
        <w:t xml:space="preserve">associations with territory population, number of school psychology graduate education programs,</w:t>
      </w:r>
    </w:p>
    <w:p>
      <w:pPr>
        <w:spacing w:before="0" w:line="251" w:lineRule="exact"/>
        <w:ind w:left="1526" w:right="6197"/>
      </w:pPr>
      <w:r>
        <w:rPr>
          <w:rStyle w:val="fontstyle08"/>
          <w:spacing w:val="-1"/>
        </w:rPr>
        <w:t xml:space="preserve">or the average salary of school psychologists?</w:t>
      </w:r>
    </w:p>
    <w:p>
      <w:pPr>
        <w:spacing w:before="240" w:line="253" w:lineRule="exact"/>
        <w:ind w:left="1166" w:right="1228"/>
      </w:pPr>
      <w:r>
        <w:rPr>
          <w:rStyle w:val="fontstyle08"/>
          <w:spacing w:val="-1"/>
        </w:rPr>
        <w:t xml:space="preserve">Figure 1 presents each U.S. territory’s student to school psychologist ratios for the 2023–2024 school</w:t>
      </w:r>
    </w:p>
    <w:p>
      <w:pPr>
        <w:spacing w:before="0" w:line="251" w:lineRule="exact"/>
        <w:ind w:left="1166" w:right="1608"/>
      </w:pPr>
      <w:r>
        <w:rPr>
          <w:rStyle w:val="fontstyle08"/>
          <w:spacing w:val="-1"/>
        </w:rPr>
        <w:t xml:space="preserve">year. Guam and American Samoa did not report data for the 2023–2024 school year. The vertical</w:t>
      </w:r>
    </w:p>
    <w:p>
      <w:pPr>
        <w:spacing w:before="0" w:line="253" w:lineRule="exact"/>
        <w:ind w:left="1166" w:right="1434"/>
      </w:pPr>
      <w:r>
        <w:rPr>
          <w:rStyle w:val="fontstyle08"/>
          <w:spacing w:val="-1"/>
        </w:rPr>
        <w:t xml:space="preserve">green line denotes a ratio of 500 students to 1 school psychologist, which is NASP’s recommended</w:t>
      </w:r>
    </w:p>
    <w:p>
      <w:pPr>
        <w:spacing w:before="0" w:line="251" w:lineRule="exact"/>
        <w:ind w:left="1166" w:right="2172"/>
      </w:pPr>
      <w:r>
        <w:rPr>
          <w:rStyle w:val="fontstyle08"/>
          <w:spacing w:val="-1"/>
        </w:rPr>
        <w:t xml:space="preserve">ratio (NASP, 2020). The data show that only three territories currently meet or fall below the</w:t>
      </w:r>
    </w:p>
    <w:p>
      <w:pPr>
        <w:spacing w:before="0" w:line="251" w:lineRule="exact"/>
        <w:ind w:left="1166" w:right="1936"/>
      </w:pPr>
      <w:r>
        <w:rPr>
          <w:rStyle w:val="fontstyle08"/>
          <w:spacing w:val="-1"/>
        </w:rPr>
        <w:t xml:space="preserve">recommended ratio: Connecticut, Puerto Rico, and Maine. Additionally, the data show that the</w:t>
      </w:r>
    </w:p>
    <w:p>
      <w:pPr>
        <w:spacing w:before="0" w:line="253" w:lineRule="exact"/>
        <w:ind w:left="1166" w:right="1177"/>
      </w:pPr>
      <w:r>
        <w:rPr>
          <w:rStyle w:val="fontstyle08"/>
          <w:spacing w:val="-1"/>
        </w:rPr>
        <w:t xml:space="preserve">national ratio of students per school psychologist is 1,065. Although this number is well above the 500</w:t>
      </w:r>
    </w:p>
    <w:p>
      <w:pPr>
        <w:spacing w:before="0" w:line="251" w:lineRule="exact"/>
        <w:ind w:left="1166" w:right="1425"/>
      </w:pPr>
      <w:r>
        <w:rPr>
          <w:rStyle w:val="fontstyle08"/>
          <w:spacing w:val="-1"/>
        </w:rPr>
        <w:t xml:space="preserve">to 1 recommendation, it does represent a 5.5% decrease from the 2022–2023 school year (Affrunti,</w:t>
      </w:r>
    </w:p>
    <w:p>
      <w:pPr>
        <w:spacing w:before="0" w:line="253" w:lineRule="exact"/>
        <w:ind w:left="1166" w:right="1178"/>
      </w:pPr>
      <w:r>
        <w:rPr>
          <w:rStyle w:val="fontstyle08"/>
          <w:spacing w:val="-1"/>
        </w:rPr>
        <w:t xml:space="preserve">2024). This means that the national ratio improved from 2022–2023 to 2023–2024 (i.e., fewer children</w:t>
      </w:r>
    </w:p>
    <w:p>
      <w:pPr>
        <w:spacing w:before="0" w:line="253" w:lineRule="exact"/>
        <w:ind w:left="1166" w:right="8651"/>
      </w:pPr>
      <w:r>
        <w:rPr>
          <w:rStyle w:val="fontstyle08"/>
          <w:spacing w:val="-1"/>
        </w:rPr>
        <w:t xml:space="preserve">per school psychologist).</w:t>
      </w:r>
    </w:p>
    <w:p>
      <w:pPr>
        <w:spacing w:before="197" w:line="253" w:lineRule="exact"/>
        <w:ind w:left="1166" w:right="1605"/>
      </w:pPr>
      <w:r>
        <w:rPr>
          <w:rStyle w:val="fontstyle08"/>
          <w:spacing w:val="-1"/>
        </w:rPr>
        <w:t xml:space="preserve">Figure 2 displays the change in student to school psychologist ratio, as a percentage, from 2022–</w:t>
      </w:r>
    </w:p>
    <w:p>
      <w:pPr>
        <w:spacing w:before="0" w:line="251" w:lineRule="exact"/>
        <w:ind w:left="1166" w:right="1266"/>
      </w:pPr>
      <w:r>
        <w:rPr>
          <w:rStyle w:val="fontstyle08"/>
          <w:spacing w:val="-1"/>
        </w:rPr>
        <w:t xml:space="preserve">2023 to 2023–2024. As the data show, approximately 70% (39) of the territories decreased their ratio</w:t>
      </w:r>
    </w:p>
    <w:p>
      <w:pPr>
        <w:spacing w:before="0" w:line="253" w:lineRule="exact"/>
        <w:ind w:left="1166" w:right="1343"/>
      </w:pPr>
      <w:r>
        <w:rPr>
          <w:rStyle w:val="fontstyle08"/>
          <w:spacing w:val="-1"/>
        </w:rPr>
        <w:t xml:space="preserve">(i.e., fewer students per school psychologist), with Maine, Alabama, New Mexico, North Dakota, and</w:t>
      </w:r>
    </w:p>
    <w:p>
      <w:pPr>
        <w:spacing w:before="0" w:line="251" w:lineRule="exact"/>
        <w:ind w:left="1166" w:right="1520"/>
      </w:pPr>
      <w:r>
        <w:rPr>
          <w:rStyle w:val="fontstyle08"/>
          <w:spacing w:val="-1"/>
        </w:rPr>
        <w:t xml:space="preserve">Rhode Island all showing greater than 15% decreases in their ratio. Data show that the U.S. Virgin</w:t>
      </w:r>
    </w:p>
    <w:p>
      <w:pPr>
        <w:spacing w:before="0" w:line="251" w:lineRule="exact"/>
        <w:ind w:left="1166" w:right="1522"/>
      </w:pPr>
      <w:r>
        <w:rPr>
          <w:rStyle w:val="fontstyle08"/>
          <w:spacing w:val="-1"/>
        </w:rPr>
        <w:t xml:space="preserve">Islands, Utah, Hawaii, and Mississippi increased (i.e., more students per school psychologist) their</w:t>
      </w:r>
    </w:p>
    <w:p>
      <w:pPr>
        <w:spacing w:before="2" w:line="253" w:lineRule="exact"/>
        <w:ind w:left="1166" w:right="8430"/>
      </w:pPr>
      <w:r>
        <w:rPr>
          <w:rStyle w:val="fontstyle08"/>
          <w:spacing w:val="-1"/>
        </w:rPr>
        <w:t xml:space="preserve">ratios by greater than 10%.</w:t>
      </w:r>
    </w:p>
    <w:p>
      <w:pPr>
        <w:spacing w:before="197" w:line="253" w:lineRule="exact"/>
        <w:ind w:left="1166" w:right="1414"/>
      </w:pPr>
      <w:r>
        <w:rPr>
          <w:rStyle w:val="fontstyle08"/>
          <w:spacing w:val="-1"/>
        </w:rPr>
        <w:t xml:space="preserve">Figure 3 displays the mean and standard deviation for the students per school psychologist ratio for</w:t>
      </w:r>
    </w:p>
    <w:p>
      <w:pPr>
        <w:spacing w:before="0" w:line="251" w:lineRule="exact"/>
        <w:ind w:left="1166" w:right="1326"/>
      </w:pPr>
      <w:r>
        <w:rPr>
          <w:rStyle w:val="fontstyle08"/>
          <w:spacing w:val="-1"/>
        </w:rPr>
        <w:t xml:space="preserve">each region for the 2023–2024 school year. A territory’s affiliation was determined based on NASP’s</w:t>
      </w:r>
    </w:p>
    <w:p>
      <w:pPr>
        <w:spacing w:before="0" w:line="251" w:lineRule="exact"/>
        <w:ind w:left="1166" w:right="1667"/>
      </w:pPr>
      <w:r>
        <w:rPr>
          <w:rStyle w:val="fontstyle08"/>
          <w:spacing w:val="-1"/>
        </w:rPr>
        <w:t xml:space="preserve">regional affiliations. Table 1 provides the regional affiliation for all territories. Table 2 provides the</w:t>
      </w:r>
    </w:p>
    <w:p>
      <w:pPr>
        <w:spacing w:before="0" w:line="253" w:lineRule="exact"/>
        <w:ind w:left="1166" w:right="1523"/>
      </w:pPr>
      <w:r>
        <w:rPr>
          <w:rStyle w:val="fontstyle08"/>
          <w:spacing w:val="-1"/>
        </w:rPr>
        <w:t xml:space="preserve">descriptive statistics for all regions. A Kruskal-Wallis test was conducted to determine whether any</w:t>
      </w:r>
    </w:p>
    <w:p>
      <w:pPr>
        <w:spacing w:before="0" w:line="251" w:lineRule="exact"/>
        <w:ind w:left="1166" w:right="1391"/>
      </w:pPr>
      <w:r>
        <w:rPr>
          <w:rStyle w:val="fontstyle08"/>
          <w:spacing w:val="-1"/>
        </w:rPr>
        <w:t xml:space="preserve">significant differences existed between regions. Importantly, Alabama, Mississippi, and New Mexico</w:t>
      </w:r>
    </w:p>
    <w:p>
      <w:pPr>
        <w:spacing w:before="2" w:line="253" w:lineRule="exact"/>
        <w:ind w:left="1166" w:right="3298"/>
      </w:pPr>
      <w:r>
        <w:rPr>
          <w:rStyle w:val="fontstyle08"/>
          <w:spacing w:val="-1"/>
        </w:rPr>
        <w:t xml:space="preserve">were not included in the following tests over concerns their counts were outliers.</w:t>
      </w:r>
    </w:p>
    <w:p>
      <w:pPr>
        <w:spacing w:before="132" w:line="238" w:lineRule="exact"/>
        <w:ind w:left="1166" w:right="1187"/>
      </w:pPr>
    </w:p>
    <w:p>
      <w:pPr>
        <w:spacing w:before="0" w:line="77" w:lineRule="exact"/>
        <w:ind w:left="1166" w:right="1187"/>
      </w:pPr>
    </w:p>
    <w:p>
      <w:pPr>
        <w:spacing w:before="1" w:line="253" w:lineRule="exact"/>
        <w:ind w:left="1166" w:right="1529"/>
      </w:pPr>
      <w:r>
        <w:rPr>
          <w:rStyle w:val="fontstyle08"/>
          <w:spacing w:val="-1"/>
        </w:rPr>
        <w:t xml:space="preserve">= .58 (Tomczak &amp; Tomczak, 2014). Post hoc Dwass-Steel-Critchlow-Flinger pairwise comparisons</w:t>
      </w:r>
    </w:p>
    <w:p>
      <w:pPr>
        <w:spacing w:before="0" w:line="251" w:lineRule="exact"/>
        <w:ind w:left="1166" w:right="1253"/>
      </w:pPr>
      <w:r>
        <w:rPr>
          <w:rStyle w:val="fontstyle08"/>
          <w:spacing w:val="-1"/>
        </w:rPr>
        <w:t xml:space="preserve">showed that the Northeast region had a significantly lower ratio than the Central, </w:t>
      </w:r>
      <w:r>
        <w:rPr>
          <w:rStyle w:val="fontstyle13"/>
          <w:spacing w:val="-1"/>
        </w:rPr>
        <w:t xml:space="preserve">W</w:t>
      </w:r>
      <w:r>
        <w:rPr>
          <w:rStyle w:val="fontstyle08"/>
          <w:spacing w:val="-1"/>
        </w:rPr>
        <w:t xml:space="preserve"> = -5.15, </w:t>
      </w:r>
      <w:r>
        <w:rPr>
          <w:rStyle w:val="fontstyle13"/>
          <w:spacing w:val="-1"/>
        </w:rPr>
        <w:t xml:space="preserve">p</w:t>
      </w:r>
      <w:r>
        <w:rPr>
          <w:rStyle w:val="fontstyle08"/>
          <w:spacing w:val="-1"/>
        </w:rPr>
        <w:t xml:space="preserve">= .002,</w:t>
      </w:r>
    </w:p>
    <w:p>
      <w:pPr>
        <w:spacing w:before="0" w:line="253" w:lineRule="exact"/>
        <w:ind w:left="1166" w:right="1505"/>
      </w:pPr>
      <w:r>
        <w:rPr>
          <w:rStyle w:val="fontstyle08"/>
          <w:spacing w:val="-1"/>
        </w:rPr>
        <w:t xml:space="preserve">Western, </w:t>
      </w:r>
      <w:r>
        <w:rPr>
          <w:rStyle w:val="fontstyle13"/>
          <w:spacing w:val="-1"/>
        </w:rPr>
        <w:t xml:space="preserve">W</w:t>
      </w:r>
      <w:r>
        <w:rPr>
          <w:rStyle w:val="fontstyle08"/>
          <w:spacing w:val="-1"/>
        </w:rPr>
        <w:t xml:space="preserve">= 4.61, </w:t>
      </w:r>
      <w:r>
        <w:rPr>
          <w:rStyle w:val="fontstyle13"/>
          <w:spacing w:val="-1"/>
        </w:rPr>
        <w:t xml:space="preserve">p</w:t>
      </w:r>
      <w:r>
        <w:rPr>
          <w:rStyle w:val="fontstyle08"/>
          <w:spacing w:val="-1"/>
        </w:rPr>
        <w:t xml:space="preserve">= .006 and Southeast, </w:t>
      </w:r>
      <w:r>
        <w:rPr>
          <w:rStyle w:val="fontstyle13"/>
          <w:spacing w:val="-1"/>
        </w:rPr>
        <w:t xml:space="preserve">W</w:t>
      </w:r>
      <w:r>
        <w:rPr>
          <w:rStyle w:val="fontstyle08"/>
          <w:spacing w:val="-1"/>
        </w:rPr>
        <w:t xml:space="preserve">= 5.86, </w:t>
      </w:r>
      <w:r>
        <w:rPr>
          <w:rStyle w:val="fontstyle13"/>
          <w:spacing w:val="-1"/>
        </w:rPr>
        <w:t xml:space="preserve">p</w:t>
      </w:r>
      <w:r>
        <w:rPr>
          <w:rStyle w:val="fontstyle08"/>
          <w:spacing w:val="-1"/>
        </w:rPr>
        <w:t xml:space="preserve">&lt; .001, regions. Additionally, the Western</w:t>
      </w:r>
    </w:p>
    <w:p>
      <w:pPr>
        <w:spacing w:before="0" w:line="251" w:lineRule="exact"/>
        <w:ind w:left="1167" w:right="1360"/>
      </w:pPr>
      <w:r>
        <w:rPr>
          <w:rStyle w:val="fontstyle08"/>
          <w:spacing w:val="-1"/>
        </w:rPr>
        <w:t xml:space="preserve">region had a significantly lower ratio than the Southeast, </w:t>
      </w:r>
      <w:r>
        <w:rPr>
          <w:rStyle w:val="fontstyle13"/>
          <w:spacing w:val="-1"/>
        </w:rPr>
        <w:t xml:space="preserve">W</w:t>
      </w:r>
      <w:r>
        <w:rPr>
          <w:rStyle w:val="fontstyle08"/>
          <w:spacing w:val="-1"/>
        </w:rPr>
        <w:t xml:space="preserve"> = -4.18, </w:t>
      </w:r>
      <w:r>
        <w:rPr>
          <w:rStyle w:val="fontstyle13"/>
          <w:spacing w:val="-1"/>
        </w:rPr>
        <w:t xml:space="preserve">p</w:t>
      </w:r>
      <w:r>
        <w:rPr>
          <w:rStyle w:val="fontstyle08"/>
          <w:spacing w:val="-1"/>
        </w:rPr>
        <w:t xml:space="preserve">= .017, and the Central region</w:t>
      </w:r>
    </w:p>
    <w:p>
      <w:pPr>
        <w:spacing w:before="0" w:line="251" w:lineRule="exact"/>
        <w:ind w:left="1167" w:right="1459"/>
      </w:pPr>
      <w:r>
        <w:rPr>
          <w:rStyle w:val="fontstyle08"/>
          <w:spacing w:val="-1"/>
        </w:rPr>
        <w:t xml:space="preserve">had a significantly lower ratio than the Southeast, </w:t>
      </w:r>
      <w:r>
        <w:rPr>
          <w:rStyle w:val="fontstyle13"/>
          <w:spacing w:val="-1"/>
        </w:rPr>
        <w:t xml:space="preserve">W</w:t>
      </w:r>
      <w:r>
        <w:rPr>
          <w:rStyle w:val="fontstyle08"/>
          <w:spacing w:val="-1"/>
        </w:rPr>
        <w:t xml:space="preserve"> = 3.65, </w:t>
      </w:r>
      <w:r>
        <w:rPr>
          <w:rStyle w:val="fontstyle13"/>
          <w:spacing w:val="-1"/>
        </w:rPr>
        <w:t xml:space="preserve">p</w:t>
      </w:r>
      <w:r>
        <w:rPr>
          <w:rStyle w:val="fontstyle08"/>
          <w:spacing w:val="-1"/>
        </w:rPr>
        <w:t xml:space="preserve">= .049. No other regional differences</w:t>
      </w:r>
    </w:p>
    <w:p>
      <w:pPr>
        <w:spacing w:before="2" w:line="253" w:lineRule="exact"/>
        <w:ind w:left="1167" w:right="9567"/>
      </w:pPr>
      <w:r>
        <w:rPr>
          <w:rStyle w:val="fontstyle08"/>
          <w:spacing w:val="-1"/>
        </w:rPr>
        <w:t xml:space="preserve">were observed.</w:t>
      </w:r>
    </w:p>
    <w:p>
      <w:pPr>
        <w:spacing w:before="3808" w:line="184" w:lineRule="exact"/>
        <w:ind w:left="1166" w:right="1172"/>
      </w:pPr>
      <w:r>
        <w:rPr>
          <w:rStyle w:val="fontstyle02"/>
          <w:spacing w:val="-1"/>
        </w:rPr>
        <w:t xml:space="preserve">NASP Research Reports</w:t>
      </w:r>
      <w:r>
        <w:rPr>
          <w:rStyle w:val="fontstyle02"/>
          <w:spacing w:val="7905"/>
        </w:rPr>
        <w:t xml:space="preserve"> </w:t>
      </w:r>
      <w:r>
        <w:rPr>
          <w:rStyle w:val="fontstyle03"/>
          <w:spacing w:val="-1"/>
        </w:rPr>
        <w:t xml:space="preserve">2</w:t>
      </w:r>
    </w:p>
    <w:p>
      <w:pPr>
        <w:spacing w:before="57" w:line="184" w:lineRule="exact"/>
        <w:ind w:left="1166" w:right="2676"/>
      </w:pPr>
      <w:r>
        <w:rPr>
          <w:rStyle w:val="fontstyle03"/>
          <w:spacing w:val="2"/>
        </w:rPr>
        <w:t xml:space="preserve">©2025 National Association of School Psychologists </w:t>
      </w:r>
      <w:r>
        <w:rPr>
          <w:rStyle w:val="fontstyle04"/>
          <w:spacing w:val="23"/>
        </w:rPr>
        <w:t xml:space="preserve">│ </w:t>
      </w:r>
      <w:r>
        <w:rPr>
          <w:rStyle w:val="fontstyle05"/>
        </w:rPr>
        <w:t xml:space="preserve">w</w:t>
      </w:r>
      <w:r>
        <w:rPr>
          <w:rStyle w:val="fontstyle05"/>
          <w:spacing w:val="2"/>
          <w:u w:val="single"/>
        </w:rPr>
        <w:t xml:space="preserve">ww.nasponline.org</w:t>
      </w:r>
      <w:r>
        <w:rPr>
          <w:rStyle w:val="fontstyle04"/>
          <w:spacing w:val="32"/>
        </w:rPr>
        <w:t xml:space="preserve"> │ </w:t>
      </w:r>
      <w:r>
        <w:rPr>
          <w:rStyle w:val="fontstyle03"/>
          <w:spacing w:val="2"/>
        </w:rPr>
        <w:t xml:space="preserve">301-657-0270 </w:t>
      </w:r>
      <w:r>
        <w:rPr>
          <w:rStyle w:val="fontstyle04"/>
          <w:spacing w:val="24"/>
        </w:rPr>
        <w:t xml:space="preserve">│ </w:t>
      </w:r>
      <w:r>
        <w:rPr>
          <w:rStyle w:val="fontstyle03"/>
          <w:spacing w:val="2"/>
        </w:rPr>
        <w:t xml:space="preserve">866-331-6277</w:t>
      </w:r>
    </w:p>
    <w:p>
      <w:pPr>
        <w:sectPr>
          <w:pgSz w:w="12240" w:h="15840" w:orient="portrait"/>
          <w:pgMar w:top="0" w:right="0" w:bottom="0" w:left="0"/>
        </w:sectPr>
        <w:spacing w:line="1" w:lineRule="exact"/>
      </w:pPr>
    </w:p>
    <w:p>
      <w:pPr>
        <w:spacing w:line="1" w:lineRule="exact"/>
      </w:pPr>
      <w:r>
        <w:rPr>
          <w:noProof/>
        </w:rPr>
        <w:drawing>
          <wp:anchor distT="0" distB="0" distL="0" distR="0" simplePos="0" relativeHeight="10240" behindDoc="1" locked="0" layoutInCell="0" allowOverlap="1" hidden="0">
            <wp:simplePos x="0" y="0"/>
            <wp:positionH relativeFrom="page">
              <wp:posOffset>740410</wp:posOffset>
            </wp:positionH>
            <wp:positionV relativeFrom="page">
              <wp:posOffset>1097901</wp:posOffset>
            </wp:positionV>
            <wp:extent cx="5852491" cy="8037422"/>
            <wp:effectExtent l="0" t="0" r="0" b="0"/>
            <wp:wrapNone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alphaModFix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491" cy="8037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1" w:lineRule="exact"/>
      </w:pPr>
      <w:r>
        <w:rPr>
          <w:noProof/>
        </w:rPr>
        <w:drawing>
          <wp:anchor distT="0" distB="0" distL="0" distR="0" simplePos="0" relativeHeight="9216" behindDoc="1" locked="0" layoutInCell="0" allowOverlap="1" hidden="0">
            <wp:simplePos x="0" y="0"/>
            <wp:positionH relativeFrom="page">
              <wp:posOffset>727074</wp:posOffset>
            </wp:positionH>
            <wp:positionV relativeFrom="page">
              <wp:posOffset>9368790</wp:posOffset>
            </wp:positionV>
            <wp:extent cx="6382385" cy="3"/>
            <wp:effectExtent l="0" t="0" r="0" b="0"/>
            <wp:wrapNone/>
            <wp:docPr id="6" name="Freeform: Shape 6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382385" cy="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6382385" h="0">
                          <a:moveTo>
                            <a:pt x="0" y="0"/>
                          </a:moveTo>
                          <a:lnTo>
                            <a:pt x="6382385" y="0"/>
                          </a:lnTo>
                          <a:close/>
                        </a:path>
                      </a:pathLst>
                    </a:custGeom>
                    <a:noFill/>
                    <a:ln w="9525">
                      <a:solidFill>
                        <a:srgbClr val="000000"/>
                      </a:solidFill>
                    </a:ln>
                  </wps:spPr>
                  <wps:bodyPr/>
                </wps:wsp>
              </a:graphicData>
            </a:graphic>
          </wp:anchor>
        </w:drawing>
      </w:r>
    </w:p>
    <w:p>
      <w:pPr>
        <w:spacing w:before="686" w:line="184" w:lineRule="exact"/>
        <w:ind w:left="1166" w:right="3239"/>
      </w:pPr>
      <w:r>
        <w:rPr>
          <w:rStyle w:val="fontstyle03"/>
          <w:spacing w:val="12"/>
        </w:rPr>
        <w:t xml:space="preserve">Data Brief: 2023–2024 Ratio of Students to FTE School Psychologists in U.S. Public Schools</w:t>
      </w:r>
    </w:p>
    <w:p>
      <w:pPr>
        <w:spacing w:before="377" w:line="253" w:lineRule="exact"/>
        <w:ind w:left="1166" w:right="3372"/>
      </w:pPr>
      <w:r>
        <w:rPr>
          <w:rStyle w:val="fontstyle19"/>
          <w:spacing w:val="-1"/>
        </w:rPr>
        <w:t xml:space="preserve">Figure 1. Student to School Psychologist Ratio by Territory for 2023–2024</w:t>
      </w:r>
    </w:p>
    <w:p>
      <w:pPr>
        <w:spacing w:before="13432" w:line="184" w:lineRule="exact"/>
        <w:ind w:left="1166" w:right="1172"/>
      </w:pPr>
      <w:r>
        <w:rPr>
          <w:rStyle w:val="fontstyle02"/>
          <w:spacing w:val="-1"/>
        </w:rPr>
        <w:t xml:space="preserve">NASP Research Reports</w:t>
      </w:r>
      <w:r>
        <w:rPr>
          <w:rStyle w:val="fontstyle02"/>
          <w:spacing w:val="7905"/>
        </w:rPr>
        <w:t xml:space="preserve"> </w:t>
      </w:r>
      <w:r>
        <w:rPr>
          <w:rStyle w:val="fontstyle03"/>
          <w:spacing w:val="-1"/>
        </w:rPr>
        <w:t xml:space="preserve">3</w:t>
      </w:r>
    </w:p>
    <w:p>
      <w:pPr>
        <w:spacing w:before="57" w:line="184" w:lineRule="exact"/>
        <w:ind w:left="1166" w:right="2676"/>
      </w:pPr>
      <w:r>
        <w:rPr>
          <w:rStyle w:val="fontstyle03"/>
          <w:spacing w:val="2"/>
        </w:rPr>
        <w:t xml:space="preserve">©2025 National Association of School Psychologists </w:t>
      </w:r>
      <w:r>
        <w:rPr>
          <w:rStyle w:val="fontstyle04"/>
          <w:spacing w:val="23"/>
        </w:rPr>
        <w:t xml:space="preserve">│ </w:t>
      </w:r>
      <w:r>
        <w:rPr>
          <w:rStyle w:val="fontstyle05"/>
        </w:rPr>
        <w:t xml:space="preserve">w</w:t>
      </w:r>
      <w:r>
        <w:rPr>
          <w:rStyle w:val="fontstyle05"/>
          <w:spacing w:val="2"/>
          <w:u w:val="single"/>
        </w:rPr>
        <w:t xml:space="preserve">ww.nasponline.org</w:t>
      </w:r>
      <w:r>
        <w:rPr>
          <w:rStyle w:val="fontstyle04"/>
          <w:spacing w:val="32"/>
        </w:rPr>
        <w:t xml:space="preserve"> │ </w:t>
      </w:r>
      <w:r>
        <w:rPr>
          <w:rStyle w:val="fontstyle03"/>
          <w:spacing w:val="2"/>
        </w:rPr>
        <w:t xml:space="preserve">301-657-0270 </w:t>
      </w:r>
      <w:r>
        <w:rPr>
          <w:rStyle w:val="fontstyle04"/>
          <w:spacing w:val="24"/>
        </w:rPr>
        <w:t xml:space="preserve">│ </w:t>
      </w:r>
      <w:r>
        <w:rPr>
          <w:rStyle w:val="fontstyle03"/>
          <w:spacing w:val="2"/>
        </w:rPr>
        <w:t xml:space="preserve">866-331-6277</w:t>
      </w:r>
    </w:p>
    <w:p>
      <w:pPr>
        <w:sectPr>
          <w:pgSz w:w="12240" w:h="15840" w:orient="portrait"/>
          <w:pgMar w:top="0" w:right="0" w:bottom="0" w:left="0"/>
        </w:sectPr>
        <w:spacing w:line="1" w:lineRule="exact"/>
      </w:pPr>
    </w:p>
    <w:p>
      <w:pPr>
        <w:spacing w:line="1" w:lineRule="exact"/>
      </w:pPr>
      <w:r>
        <w:rPr>
          <w:noProof/>
        </w:rPr>
        <w:drawing>
          <wp:anchor distT="0" distB="0" distL="0" distR="0" simplePos="0" relativeHeight="13312" behindDoc="1" locked="0" layoutInCell="0" allowOverlap="1" hidden="0">
            <wp:simplePos x="0" y="0"/>
            <wp:positionH relativeFrom="page">
              <wp:posOffset>740410</wp:posOffset>
            </wp:positionH>
            <wp:positionV relativeFrom="page">
              <wp:posOffset>6095363</wp:posOffset>
            </wp:positionV>
            <wp:extent cx="2697529" cy="3154679"/>
            <wp:effectExtent l="0" t="0" r="0" b="0"/>
            <wp:wrapNone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 preferRelativeResize="0">
                      <a:picLocks noChangeArrowheads="1"/>
                    </pic:cNvPicPr>
                  </pic:nvPicPr>
                  <pic:blipFill>
                    <a:blip r:embed="rId9">
                      <a:alphaModFix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529" cy="3154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4336" behindDoc="1" locked="0" layoutInCell="0" allowOverlap="1" hidden="0">
            <wp:simplePos x="0" y="0"/>
            <wp:positionH relativeFrom="page">
              <wp:posOffset>740410</wp:posOffset>
            </wp:positionH>
            <wp:positionV relativeFrom="page">
              <wp:posOffset>1258543</wp:posOffset>
            </wp:positionV>
            <wp:extent cx="6089544" cy="4306569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 preferRelativeResize="0">
                      <a:picLocks noChangeArrowheads="1"/>
                    </pic:cNvPicPr>
                  </pic:nvPicPr>
                  <pic:blipFill>
                    <a:blip r:embed="rId10">
                      <a:alphaModFix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544" cy="4306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1" w:lineRule="exact"/>
      </w:pPr>
      <w:r>
        <w:rPr>
          <w:noProof/>
        </w:rPr>
        <w:drawing>
          <wp:anchor distT="0" distB="0" distL="0" distR="0" simplePos="0" relativeHeight="12288" behindDoc="1" locked="0" layoutInCell="0" allowOverlap="1" hidden="0">
            <wp:simplePos x="0" y="0"/>
            <wp:positionH relativeFrom="page">
              <wp:posOffset>727074</wp:posOffset>
            </wp:positionH>
            <wp:positionV relativeFrom="page">
              <wp:posOffset>9368790</wp:posOffset>
            </wp:positionV>
            <wp:extent cx="6382385" cy="3"/>
            <wp:effectExtent l="0" t="0" r="0" b="0"/>
            <wp:wrapNone/>
            <wp:docPr id="9" name="Freeform: Shape 9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382385" cy="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6382385" h="0">
                          <a:moveTo>
                            <a:pt x="0" y="0"/>
                          </a:moveTo>
                          <a:lnTo>
                            <a:pt x="6382385" y="0"/>
                          </a:lnTo>
                          <a:close/>
                        </a:path>
                      </a:pathLst>
                    </a:custGeom>
                    <a:noFill/>
                    <a:ln w="9525">
                      <a:solidFill>
                        <a:srgbClr val="000000"/>
                      </a:solidFill>
                    </a:ln>
                  </wps:spPr>
                  <wps:bodyPr/>
                </wps:wsp>
              </a:graphicData>
            </a:graphic>
          </wp:anchor>
        </w:drawing>
      </w:r>
    </w:p>
    <w:p>
      <w:pPr>
        <w:spacing w:before="686" w:line="184" w:lineRule="exact"/>
        <w:ind w:left="1166" w:right="3239"/>
      </w:pPr>
      <w:r>
        <w:rPr>
          <w:rStyle w:val="fontstyle03"/>
          <w:spacing w:val="12"/>
        </w:rPr>
        <w:t xml:space="preserve">Data Brief: 2023–2024 Ratio of Students to FTE School Psychologists in U.S. Public Schools</w:t>
      </w:r>
    </w:p>
    <w:p>
      <w:pPr>
        <w:spacing w:before="377" w:line="253" w:lineRule="exact"/>
        <w:ind w:left="1166" w:right="1756"/>
      </w:pPr>
      <w:r>
        <w:rPr>
          <w:rStyle w:val="fontstyle19"/>
          <w:spacing w:val="-1"/>
        </w:rPr>
        <w:t xml:space="preserve">Figure 2. Percentage Change in Student to School Psychologist Ratio From 2022–2023 to</w:t>
      </w:r>
    </w:p>
    <w:p>
      <w:pPr>
        <w:spacing w:before="0" w:line="251" w:lineRule="exact"/>
        <w:ind w:left="1166" w:right="9972"/>
      </w:pPr>
      <w:r>
        <w:rPr>
          <w:rStyle w:val="fontstyle19"/>
          <w:spacing w:val="-1"/>
        </w:rPr>
        <w:t xml:space="preserve">2023–2024</w:t>
      </w:r>
    </w:p>
    <w:p>
      <w:pPr>
        <w:spacing w:before="7358" w:line="253" w:lineRule="exact"/>
        <w:ind w:left="1166" w:right="3406"/>
      </w:pPr>
      <w:r>
        <w:rPr>
          <w:rStyle w:val="fontstyle19"/>
          <w:spacing w:val="-1"/>
        </w:rPr>
        <w:t xml:space="preserve">Figure 3. Differences in Student to School Psychologist Ratios by Region</w:t>
      </w:r>
    </w:p>
    <w:p>
      <w:pPr>
        <w:spacing w:before="5567" w:line="184" w:lineRule="exact"/>
        <w:ind w:left="1166" w:right="1172"/>
      </w:pPr>
      <w:r>
        <w:rPr>
          <w:rStyle w:val="fontstyle02"/>
          <w:spacing w:val="-1"/>
        </w:rPr>
        <w:t xml:space="preserve">NASP Research Reports</w:t>
      </w:r>
      <w:r>
        <w:rPr>
          <w:rStyle w:val="fontstyle02"/>
          <w:spacing w:val="7905"/>
        </w:rPr>
        <w:t xml:space="preserve"> </w:t>
      </w:r>
      <w:r>
        <w:rPr>
          <w:rStyle w:val="fontstyle03"/>
          <w:spacing w:val="-1"/>
        </w:rPr>
        <w:t xml:space="preserve">4</w:t>
      </w:r>
    </w:p>
    <w:p>
      <w:pPr>
        <w:spacing w:before="57" w:line="184" w:lineRule="exact"/>
        <w:ind w:left="1166" w:right="2676"/>
      </w:pPr>
      <w:r>
        <w:rPr>
          <w:rStyle w:val="fontstyle03"/>
          <w:spacing w:val="2"/>
        </w:rPr>
        <w:t xml:space="preserve">©2025 National Association of School Psychologists </w:t>
      </w:r>
      <w:r>
        <w:rPr>
          <w:rStyle w:val="fontstyle04"/>
          <w:spacing w:val="23"/>
        </w:rPr>
        <w:t xml:space="preserve">│ </w:t>
      </w:r>
      <w:r>
        <w:rPr>
          <w:rStyle w:val="fontstyle05"/>
        </w:rPr>
        <w:t xml:space="preserve">w</w:t>
      </w:r>
      <w:r>
        <w:rPr>
          <w:rStyle w:val="fontstyle05"/>
          <w:spacing w:val="2"/>
          <w:u w:val="single"/>
        </w:rPr>
        <w:t xml:space="preserve">ww.nasponline.org</w:t>
      </w:r>
      <w:r>
        <w:rPr>
          <w:rStyle w:val="fontstyle04"/>
          <w:spacing w:val="32"/>
        </w:rPr>
        <w:t xml:space="preserve"> │ </w:t>
      </w:r>
      <w:r>
        <w:rPr>
          <w:rStyle w:val="fontstyle03"/>
          <w:spacing w:val="2"/>
        </w:rPr>
        <w:t xml:space="preserve">301-657-0270 </w:t>
      </w:r>
      <w:r>
        <w:rPr>
          <w:rStyle w:val="fontstyle04"/>
          <w:spacing w:val="24"/>
        </w:rPr>
        <w:t xml:space="preserve">│ </w:t>
      </w:r>
      <w:r>
        <w:rPr>
          <w:rStyle w:val="fontstyle03"/>
          <w:spacing w:val="2"/>
        </w:rPr>
        <w:t xml:space="preserve">866-331-6277</w:t>
      </w:r>
    </w:p>
    <w:p>
      <w:pPr>
        <w:sectPr>
          <w:pgSz w:w="12240" w:h="15840" w:orient="portrait"/>
          <w:pgMar w:top="0" w:right="0" w:bottom="0" w:left="0"/>
        </w:sectPr>
        <w:spacing w:line="1" w:lineRule="exact"/>
      </w:pPr>
    </w:p>
    <w:p>
      <w:pPr>
        <w:spacing w:line="1" w:lineRule="exact"/>
      </w:pPr>
      <w:r>
        <w:rPr>
          <w:noProof/>
        </w:rPr>
        <w:drawing>
          <wp:anchor distT="0" distB="0" distL="0" distR="0" simplePos="0" relativeHeight="16384" behindDoc="1" locked="0" layoutInCell="0" allowOverlap="1" hidden="0">
            <wp:simplePos x="0" y="0"/>
            <wp:positionH relativeFrom="page">
              <wp:posOffset>727074</wp:posOffset>
            </wp:positionH>
            <wp:positionV relativeFrom="page">
              <wp:posOffset>9368790</wp:posOffset>
            </wp:positionV>
            <wp:extent cx="6382385" cy="3"/>
            <wp:effectExtent l="0" t="0" r="0" b="0"/>
            <wp:wrapNone/>
            <wp:docPr id="10" name="Freeform: Shape 10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382385" cy="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6382385" h="0">
                          <a:moveTo>
                            <a:pt x="0" y="0"/>
                          </a:moveTo>
                          <a:lnTo>
                            <a:pt x="6382385" y="0"/>
                          </a:lnTo>
                          <a:close/>
                        </a:path>
                      </a:pathLst>
                    </a:custGeom>
                    <a:noFill/>
                    <a:ln w="9525">
                      <a:solidFill>
                        <a:srgbClr val="000000"/>
                      </a:solidFill>
                    </a:ln>
                  </wps:spPr>
                  <wps:bodyPr/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7408" behindDoc="1" locked="0" layoutInCell="0" allowOverlap="1" hidden="0">
            <wp:simplePos x="0" y="0"/>
            <wp:positionH relativeFrom="page">
              <wp:posOffset>672083</wp:posOffset>
            </wp:positionH>
            <wp:positionV relativeFrom="page">
              <wp:posOffset>1097279</wp:posOffset>
            </wp:positionV>
            <wp:extent cx="5902452" cy="6096"/>
            <wp:effectExtent l="0" t="0" r="0" b="0"/>
            <wp:wrapNone/>
            <wp:docPr id="11" name="Freeform: Shape 11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5902452" cy="6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519427" h="6096">
                          <a:moveTo>
                            <a:pt x="0" y="6096"/>
                          </a:moveTo>
                          <a:lnTo>
                            <a:pt x="1519427" y="6096"/>
                          </a:lnTo>
                          <a:lnTo>
                            <a:pt x="1519427" y="0"/>
                          </a:lnTo>
                          <a:lnTo>
                            <a:pt x="0" y="0"/>
                          </a:lnTo>
                          <a:lnTo>
                            <a:pt x="0" y="6096"/>
                          </a:lnTo>
                          <a:close/>
                        </a:path>
                      </a:pathLst>
                    </a:custGeom>
                    <a:solidFill>
                      <a:srgbClr val="000000"/>
                    </a:solidFill>
                    <a:ln>
                      <a:noFill/>
                    </a:ln>
                  </wps:spPr>
                  <wps:bodyPr/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4576" behindDoc="1" locked="0" layoutInCell="0" allowOverlap="1" hidden="0">
            <wp:simplePos x="0" y="0"/>
            <wp:positionH relativeFrom="page">
              <wp:posOffset>672083</wp:posOffset>
            </wp:positionH>
            <wp:positionV relativeFrom="page">
              <wp:posOffset>1394459</wp:posOffset>
            </wp:positionV>
            <wp:extent cx="5902452" cy="6096"/>
            <wp:effectExtent l="0" t="0" r="0" b="0"/>
            <wp:wrapNone/>
            <wp:docPr id="12" name="Freeform: Shape 12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5902452" cy="6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519427" h="6096">
                          <a:moveTo>
                            <a:pt x="0" y="6096"/>
                          </a:moveTo>
                          <a:lnTo>
                            <a:pt x="1519427" y="6096"/>
                          </a:lnTo>
                          <a:lnTo>
                            <a:pt x="1519427" y="0"/>
                          </a:lnTo>
                          <a:lnTo>
                            <a:pt x="0" y="0"/>
                          </a:lnTo>
                          <a:lnTo>
                            <a:pt x="0" y="6096"/>
                          </a:lnTo>
                          <a:close/>
                        </a:path>
                      </a:pathLst>
                    </a:custGeom>
                    <a:solidFill>
                      <a:srgbClr val="000000"/>
                    </a:solidFill>
                    <a:ln>
                      <a:noFill/>
                    </a:ln>
                  </wps:spPr>
                  <wps:bodyPr/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1744" behindDoc="1" locked="0" layoutInCell="0" allowOverlap="1" hidden="0">
            <wp:simplePos x="0" y="0"/>
            <wp:positionH relativeFrom="page">
              <wp:posOffset>662940</wp:posOffset>
            </wp:positionH>
            <wp:positionV relativeFrom="page">
              <wp:posOffset>4818887</wp:posOffset>
            </wp:positionV>
            <wp:extent cx="5911596" cy="6096"/>
            <wp:effectExtent l="0" t="0" r="0" b="0"/>
            <wp:wrapNone/>
            <wp:docPr id="13" name="Freeform: Shape 13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5911596" cy="6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528571" h="6096">
                          <a:moveTo>
                            <a:pt x="0" y="6096"/>
                          </a:moveTo>
                          <a:lnTo>
                            <a:pt x="1528571" y="6096"/>
                          </a:lnTo>
                          <a:lnTo>
                            <a:pt x="1528571" y="0"/>
                          </a:lnTo>
                          <a:lnTo>
                            <a:pt x="0" y="0"/>
                          </a:lnTo>
                          <a:lnTo>
                            <a:pt x="0" y="6096"/>
                          </a:lnTo>
                          <a:close/>
                        </a:path>
                      </a:pathLst>
                    </a:custGeom>
                    <a:solidFill>
                      <a:srgbClr val="000000"/>
                    </a:solidFill>
                    <a:ln>
                      <a:noFill/>
                    </a:ln>
                  </wps:spPr>
                  <wps:bodyPr/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8912" behindDoc="1" locked="0" layoutInCell="0" allowOverlap="1" hidden="0">
            <wp:simplePos x="0" y="0"/>
            <wp:positionH relativeFrom="page">
              <wp:posOffset>672083</wp:posOffset>
            </wp:positionH>
            <wp:positionV relativeFrom="page">
              <wp:posOffset>5969507</wp:posOffset>
            </wp:positionV>
            <wp:extent cx="4671060" cy="6095"/>
            <wp:effectExtent l="0" t="0" r="0" b="0"/>
            <wp:wrapNone/>
            <wp:docPr id="14" name="Freeform: Shape 1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4671060" cy="6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543812" h="6095">
                          <a:moveTo>
                            <a:pt x="0" y="6095"/>
                          </a:moveTo>
                          <a:lnTo>
                            <a:pt x="1543812" y="6095"/>
                          </a:lnTo>
                          <a:lnTo>
                            <a:pt x="1543812" y="0"/>
                          </a:lnTo>
                          <a:lnTo>
                            <a:pt x="0" y="0"/>
                          </a:lnTo>
                          <a:lnTo>
                            <a:pt x="0" y="6095"/>
                          </a:lnTo>
                          <a:close/>
                        </a:path>
                      </a:pathLst>
                    </a:custGeom>
                    <a:solidFill>
                      <a:srgbClr val="000000"/>
                    </a:solidFill>
                    <a:ln>
                      <a:noFill/>
                    </a:ln>
                  </wps:spPr>
                  <wps:bodyPr/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128" behindDoc="1" locked="0" layoutInCell="0" allowOverlap="1" hidden="0">
            <wp:simplePos x="0" y="0"/>
            <wp:positionH relativeFrom="page">
              <wp:posOffset>672083</wp:posOffset>
            </wp:positionH>
            <wp:positionV relativeFrom="page">
              <wp:posOffset>6266687</wp:posOffset>
            </wp:positionV>
            <wp:extent cx="4671072" cy="9144"/>
            <wp:effectExtent l="0" t="0" r="0" b="0"/>
            <wp:wrapNone/>
            <wp:docPr id="15" name="Freeform: Shape 15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4671072" cy="9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543812" h="9144">
                          <a:moveTo>
                            <a:pt x="0" y="9144"/>
                          </a:moveTo>
                          <a:lnTo>
                            <a:pt x="1543812" y="9144"/>
                          </a:lnTo>
                          <a:lnTo>
                            <a:pt x="1543812" y="0"/>
                          </a:lnTo>
                          <a:lnTo>
                            <a:pt x="0" y="0"/>
                          </a:lnTo>
                          <a:lnTo>
                            <a:pt x="0" y="9144"/>
                          </a:lnTo>
                          <a:close/>
                        </a:path>
                      </a:pathLst>
                    </a:custGeom>
                    <a:solidFill>
                      <a:srgbClr val="333333"/>
                    </a:solidFill>
                    <a:ln>
                      <a:noFill/>
                    </a:ln>
                  </wps:spPr>
                  <wps:bodyPr/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7344" behindDoc="1" locked="0" layoutInCell="0" allowOverlap="1" hidden="0">
            <wp:simplePos x="0" y="0"/>
            <wp:positionH relativeFrom="page">
              <wp:posOffset>662940</wp:posOffset>
            </wp:positionH>
            <wp:positionV relativeFrom="page">
              <wp:posOffset>7328915</wp:posOffset>
            </wp:positionV>
            <wp:extent cx="4680204" cy="18288"/>
            <wp:effectExtent l="0" t="0" r="0" b="0"/>
            <wp:wrapNone/>
            <wp:docPr id="16" name="Freeform: Shape 16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4680204" cy="182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552956" h="18288">
                          <a:moveTo>
                            <a:pt x="0" y="18288"/>
                          </a:moveTo>
                          <a:lnTo>
                            <a:pt x="1552956" y="18288"/>
                          </a:lnTo>
                          <a:lnTo>
                            <a:pt x="1552956" y="0"/>
                          </a:lnTo>
                          <a:lnTo>
                            <a:pt x="0" y="0"/>
                          </a:lnTo>
                          <a:lnTo>
                            <a:pt x="0" y="18288"/>
                          </a:lnTo>
                          <a:close/>
                        </a:path>
                      </a:pathLst>
                    </a:custGeom>
                    <a:solidFill>
                      <a:srgbClr val="333333"/>
                    </a:solidFill>
                    <a:ln>
                      <a:noFill/>
                    </a:ln>
                  </wps:spPr>
                  <wps:bodyPr/>
                </wps:wsp>
              </a:graphicData>
            </a:graphic>
          </wp:anchor>
        </w:drawing>
      </w:r>
    </w:p>
    <w:p>
      <w:pPr>
        <w:spacing w:before="686" w:line="184" w:lineRule="exact"/>
        <w:ind w:left="1166" w:right="3239"/>
      </w:pPr>
      <w:r>
        <w:rPr>
          <w:rStyle w:val="fontstyle03"/>
          <w:spacing w:val="12"/>
        </w:rPr>
        <w:t xml:space="preserve">Data Brief: 2023–2024 Ratio of Students to FTE School Psychologists in U.S. Public Schools</w:t>
      </w:r>
    </w:p>
    <w:p>
      <w:pPr>
        <w:spacing w:before="377" w:line="253" w:lineRule="exact"/>
        <w:ind w:left="1166" w:right="8248"/>
      </w:pPr>
      <w:r>
        <w:rPr>
          <w:rStyle w:val="fontstyle19"/>
          <w:spacing w:val="-1"/>
        </w:rPr>
        <w:t xml:space="preserve">Table 1. Region Affiliations</w:t>
      </w:r>
    </w:p>
    <w:p>
      <w:pPr>
        <w:spacing w:before="187" w:line="275" w:lineRule="exact"/>
        <w:ind w:left="1166" w:right="3504"/>
      </w:pPr>
      <w:r>
        <w:rPr>
          <w:rStyle w:val="fontstyle20"/>
          <w:spacing w:val="-1"/>
        </w:rPr>
        <w:t xml:space="preserve">Northeast (NE)</w:t>
      </w:r>
      <w:r>
        <w:rPr>
          <w:rStyle w:val="fontstyle20"/>
          <w:spacing w:val="645"/>
        </w:rPr>
        <w:t xml:space="preserve"> </w:t>
      </w:r>
      <w:r>
        <w:rPr>
          <w:rStyle w:val="fontstyle20"/>
          <w:spacing w:val="-1"/>
        </w:rPr>
        <w:t xml:space="preserve">Southeast (SE)</w:t>
      </w:r>
      <w:r>
        <w:rPr>
          <w:rStyle w:val="fontstyle20"/>
          <w:spacing w:val="522"/>
        </w:rPr>
        <w:t xml:space="preserve"> </w:t>
      </w:r>
      <w:r>
        <w:rPr>
          <w:rStyle w:val="fontstyle20"/>
          <w:spacing w:val="-1"/>
        </w:rPr>
        <w:t xml:space="preserve">Central</w:t>
      </w:r>
      <w:r>
        <w:rPr>
          <w:rStyle w:val="fontstyle20"/>
          <w:spacing w:val="1405"/>
        </w:rPr>
        <w:t xml:space="preserve"> </w:t>
      </w:r>
      <w:r>
        <w:rPr>
          <w:rStyle w:val="fontstyle20"/>
          <w:spacing w:val="-1"/>
        </w:rPr>
        <w:t xml:space="preserve">West</w:t>
      </w:r>
    </w:p>
    <w:p>
      <w:pPr>
        <w:spacing w:before="192" w:line="275" w:lineRule="exact"/>
        <w:ind w:left="1166" w:right="3358"/>
      </w:pPr>
      <w:r>
        <w:rPr>
          <w:rStyle w:val="fontstyle21"/>
          <w:spacing w:val="-1"/>
        </w:rPr>
        <w:t xml:space="preserve">Connecticut</w:t>
      </w:r>
      <w:r>
        <w:rPr>
          <w:rStyle w:val="fontstyle21"/>
          <w:spacing w:val="1055"/>
        </w:rPr>
        <w:t xml:space="preserve"> </w:t>
      </w:r>
      <w:r>
        <w:rPr>
          <w:rStyle w:val="fontstyle21"/>
          <w:spacing w:val="-1"/>
        </w:rPr>
        <w:t xml:space="preserve">Alabama</w:t>
      </w:r>
      <w:r>
        <w:rPr>
          <w:rStyle w:val="fontstyle21"/>
          <w:spacing w:val="1281"/>
        </w:rPr>
        <w:t xml:space="preserve"> </w:t>
      </w:r>
      <w:r>
        <w:rPr>
          <w:rStyle w:val="fontstyle21"/>
          <w:spacing w:val="-1"/>
        </w:rPr>
        <w:t xml:space="preserve">Iowa</w:t>
      </w:r>
      <w:r>
        <w:rPr>
          <w:rStyle w:val="fontstyle21"/>
          <w:spacing w:val="1726"/>
        </w:rPr>
        <w:t xml:space="preserve"> </w:t>
      </w:r>
      <w:r>
        <w:rPr>
          <w:rStyle w:val="fontstyle21"/>
          <w:spacing w:val="-1"/>
        </w:rPr>
        <w:t xml:space="preserve">Alaska</w:t>
      </w:r>
    </w:p>
    <w:p>
      <w:pPr>
        <w:spacing w:before="136" w:line="275" w:lineRule="exact"/>
        <w:ind w:left="1166" w:right="3263"/>
      </w:pPr>
      <w:r>
        <w:rPr>
          <w:rStyle w:val="fontstyle21"/>
          <w:spacing w:val="-1"/>
        </w:rPr>
        <w:t xml:space="preserve">District of Columbia</w:t>
      </w:r>
      <w:r>
        <w:rPr>
          <w:rStyle w:val="fontstyle21"/>
          <w:spacing w:val="243"/>
        </w:rPr>
        <w:t xml:space="preserve"> </w:t>
      </w:r>
      <w:r>
        <w:rPr>
          <w:rStyle w:val="fontstyle21"/>
          <w:spacing w:val="-1"/>
        </w:rPr>
        <w:t xml:space="preserve">Arkansas</w:t>
      </w:r>
      <w:r>
        <w:rPr>
          <w:rStyle w:val="fontstyle21"/>
          <w:spacing w:val="1227"/>
        </w:rPr>
        <w:t xml:space="preserve"> </w:t>
      </w:r>
      <w:r>
        <w:rPr>
          <w:rStyle w:val="fontstyle21"/>
          <w:spacing w:val="-1"/>
        </w:rPr>
        <w:t xml:space="preserve">Illinois</w:t>
      </w:r>
      <w:r>
        <w:rPr>
          <w:rStyle w:val="fontstyle21"/>
          <w:spacing w:val="1567"/>
        </w:rPr>
        <w:t xml:space="preserve"> </w:t>
      </w:r>
      <w:r>
        <w:rPr>
          <w:rStyle w:val="fontstyle21"/>
          <w:spacing w:val="-1"/>
        </w:rPr>
        <w:t xml:space="preserve">Arizona</w:t>
      </w:r>
    </w:p>
    <w:p>
      <w:pPr>
        <w:spacing w:before="139" w:line="275" w:lineRule="exact"/>
        <w:ind w:left="1166" w:right="3066"/>
      </w:pPr>
      <w:r>
        <w:rPr>
          <w:rStyle w:val="fontstyle21"/>
          <w:spacing w:val="-1"/>
        </w:rPr>
        <w:t xml:space="preserve">Delaware</w:t>
      </w:r>
      <w:r>
        <w:rPr>
          <w:rStyle w:val="fontstyle21"/>
          <w:spacing w:val="1311"/>
        </w:rPr>
        <w:t xml:space="preserve"> </w:t>
      </w:r>
      <w:r>
        <w:rPr>
          <w:rStyle w:val="fontstyle21"/>
          <w:spacing w:val="-1"/>
        </w:rPr>
        <w:t xml:space="preserve">Florida</w:t>
      </w:r>
      <w:r>
        <w:rPr>
          <w:rStyle w:val="fontstyle21"/>
          <w:spacing w:val="1498"/>
        </w:rPr>
        <w:t xml:space="preserve"> </w:t>
      </w:r>
      <w:r>
        <w:rPr>
          <w:rStyle w:val="fontstyle21"/>
          <w:spacing w:val="-1"/>
        </w:rPr>
        <w:t xml:space="preserve">Indiana</w:t>
      </w:r>
      <w:r>
        <w:rPr>
          <w:rStyle w:val="fontstyle21"/>
          <w:spacing w:val="1444"/>
        </w:rPr>
        <w:t xml:space="preserve"> </w:t>
      </w:r>
      <w:r>
        <w:rPr>
          <w:rStyle w:val="fontstyle21"/>
          <w:spacing w:val="-1"/>
        </w:rPr>
        <w:t xml:space="preserve">California</w:t>
      </w:r>
    </w:p>
    <w:p>
      <w:pPr>
        <w:spacing w:before="136" w:line="275" w:lineRule="exact"/>
        <w:ind w:left="1166" w:right="3103"/>
      </w:pPr>
      <w:r>
        <w:rPr>
          <w:rStyle w:val="fontstyle21"/>
          <w:spacing w:val="-1"/>
        </w:rPr>
        <w:t xml:space="preserve">Massachusetts</w:t>
      </w:r>
      <w:r>
        <w:rPr>
          <w:rStyle w:val="fontstyle21"/>
          <w:spacing w:val="720"/>
        </w:rPr>
        <w:t xml:space="preserve"> </w:t>
      </w:r>
      <w:r>
        <w:rPr>
          <w:rStyle w:val="fontstyle21"/>
          <w:spacing w:val="-1"/>
        </w:rPr>
        <w:t xml:space="preserve">Georgia</w:t>
      </w:r>
      <w:r>
        <w:rPr>
          <w:rStyle w:val="fontstyle21"/>
          <w:spacing w:val="1374"/>
        </w:rPr>
        <w:t xml:space="preserve"> </w:t>
      </w:r>
      <w:r>
        <w:rPr>
          <w:rStyle w:val="fontstyle21"/>
          <w:spacing w:val="-1"/>
        </w:rPr>
        <w:t xml:space="preserve">Kansas</w:t>
      </w:r>
      <w:r>
        <w:rPr>
          <w:rStyle w:val="fontstyle21"/>
          <w:spacing w:val="1428"/>
        </w:rPr>
        <w:t xml:space="preserve"> </w:t>
      </w:r>
      <w:r>
        <w:rPr>
          <w:rStyle w:val="fontstyle21"/>
          <w:spacing w:val="-1"/>
        </w:rPr>
        <w:t xml:space="preserve">Colorado</w:t>
      </w:r>
    </w:p>
    <w:p>
      <w:pPr>
        <w:spacing w:before="139" w:line="275" w:lineRule="exact"/>
        <w:ind w:left="1166" w:right="3359"/>
      </w:pPr>
      <w:r>
        <w:rPr>
          <w:rStyle w:val="fontstyle21"/>
          <w:spacing w:val="-1"/>
        </w:rPr>
        <w:t xml:space="preserve">Maine</w:t>
      </w:r>
      <w:r>
        <w:rPr>
          <w:rStyle w:val="fontstyle21"/>
          <w:spacing w:val="1669"/>
        </w:rPr>
        <w:t xml:space="preserve"> </w:t>
      </w:r>
      <w:r>
        <w:rPr>
          <w:rStyle w:val="fontstyle21"/>
          <w:spacing w:val="-1"/>
        </w:rPr>
        <w:t xml:space="preserve">Kentucky</w:t>
      </w:r>
      <w:r>
        <w:rPr>
          <w:rStyle w:val="fontstyle21"/>
          <w:spacing w:val="1241"/>
        </w:rPr>
        <w:t xml:space="preserve"> </w:t>
      </w:r>
      <w:r>
        <w:rPr>
          <w:rStyle w:val="fontstyle21"/>
          <w:spacing w:val="-1"/>
        </w:rPr>
        <w:t xml:space="preserve">Michigan</w:t>
      </w:r>
      <w:r>
        <w:rPr>
          <w:rStyle w:val="fontstyle21"/>
          <w:spacing w:val="1271"/>
        </w:rPr>
        <w:t xml:space="preserve"> </w:t>
      </w:r>
      <w:r>
        <w:rPr>
          <w:rStyle w:val="fontstyle21"/>
          <w:spacing w:val="-1"/>
        </w:rPr>
        <w:t xml:space="preserve">Hawaii</w:t>
      </w:r>
    </w:p>
    <w:p>
      <w:pPr>
        <w:spacing w:before="136" w:line="275" w:lineRule="exact"/>
        <w:ind w:left="1166" w:right="3477"/>
      </w:pPr>
      <w:r>
        <w:rPr>
          <w:rStyle w:val="fontstyle21"/>
          <w:spacing w:val="-1"/>
        </w:rPr>
        <w:t xml:space="preserve">Maryland</w:t>
      </w:r>
      <w:r>
        <w:rPr>
          <w:rStyle w:val="fontstyle21"/>
          <w:spacing w:val="1336"/>
        </w:rPr>
        <w:t xml:space="preserve"> </w:t>
      </w:r>
      <w:r>
        <w:rPr>
          <w:rStyle w:val="fontstyle21"/>
          <w:spacing w:val="-1"/>
        </w:rPr>
        <w:t xml:space="preserve">Louisiana</w:t>
      </w:r>
      <w:r>
        <w:rPr>
          <w:rStyle w:val="fontstyle21"/>
          <w:spacing w:val="1201"/>
        </w:rPr>
        <w:t xml:space="preserve"> </w:t>
      </w:r>
      <w:r>
        <w:rPr>
          <w:rStyle w:val="fontstyle21"/>
          <w:spacing w:val="-1"/>
        </w:rPr>
        <w:t xml:space="preserve">Minnesota</w:t>
      </w:r>
      <w:r>
        <w:rPr>
          <w:rStyle w:val="fontstyle21"/>
          <w:spacing w:val="1125"/>
        </w:rPr>
        <w:t xml:space="preserve"> </w:t>
      </w:r>
      <w:r>
        <w:rPr>
          <w:rStyle w:val="fontstyle21"/>
          <w:spacing w:val="-1"/>
        </w:rPr>
        <w:t xml:space="preserve">Idaho</w:t>
      </w:r>
    </w:p>
    <w:p>
      <w:pPr>
        <w:spacing w:before="136" w:line="275" w:lineRule="exact"/>
        <w:ind w:left="1166" w:right="3143"/>
      </w:pPr>
      <w:r>
        <w:rPr>
          <w:rStyle w:val="fontstyle21"/>
          <w:spacing w:val="-1"/>
        </w:rPr>
        <w:t xml:space="preserve">New Hampshire</w:t>
      </w:r>
      <w:r>
        <w:rPr>
          <w:rStyle w:val="fontstyle21"/>
          <w:spacing w:val="617"/>
        </w:rPr>
        <w:t xml:space="preserve"> </w:t>
      </w:r>
      <w:r>
        <w:rPr>
          <w:rStyle w:val="fontstyle21"/>
          <w:spacing w:val="-1"/>
        </w:rPr>
        <w:t xml:space="preserve">Mississippi</w:t>
      </w:r>
      <w:r>
        <w:rPr>
          <w:rStyle w:val="fontstyle21"/>
          <w:spacing w:val="1071"/>
        </w:rPr>
        <w:t xml:space="preserve"> </w:t>
      </w:r>
      <w:r>
        <w:rPr>
          <w:rStyle w:val="fontstyle21"/>
          <w:spacing w:val="-1"/>
        </w:rPr>
        <w:t xml:space="preserve">Missouri</w:t>
      </w:r>
      <w:r>
        <w:rPr>
          <w:rStyle w:val="fontstyle21"/>
          <w:spacing w:val="1341"/>
        </w:rPr>
        <w:t xml:space="preserve"> </w:t>
      </w:r>
      <w:r>
        <w:rPr>
          <w:rStyle w:val="fontstyle21"/>
          <w:spacing w:val="-1"/>
        </w:rPr>
        <w:t xml:space="preserve">Montana</w:t>
      </w:r>
    </w:p>
    <w:p>
      <w:pPr>
        <w:spacing w:before="139" w:line="275" w:lineRule="exact"/>
        <w:ind w:left="1166" w:right="2773"/>
      </w:pPr>
      <w:r>
        <w:rPr>
          <w:rStyle w:val="fontstyle21"/>
          <w:spacing w:val="-1"/>
        </w:rPr>
        <w:t xml:space="preserve">New Jersey</w:t>
      </w:r>
      <w:r>
        <w:rPr>
          <w:rStyle w:val="fontstyle21"/>
          <w:spacing w:val="1068"/>
        </w:rPr>
        <w:t xml:space="preserve"> </w:t>
      </w:r>
      <w:r>
        <w:rPr>
          <w:rStyle w:val="fontstyle21"/>
          <w:spacing w:val="-1"/>
        </w:rPr>
        <w:t xml:space="preserve">North Carolina</w:t>
      </w:r>
      <w:r>
        <w:rPr>
          <w:rStyle w:val="fontstyle21"/>
          <w:spacing w:val="681"/>
        </w:rPr>
        <w:t xml:space="preserve"> </w:t>
      </w:r>
      <w:r>
        <w:rPr>
          <w:rStyle w:val="fontstyle21"/>
          <w:spacing w:val="-1"/>
        </w:rPr>
        <w:t xml:space="preserve">North Dakota</w:t>
      </w:r>
      <w:r>
        <w:rPr>
          <w:rStyle w:val="fontstyle21"/>
          <w:spacing w:val="817"/>
        </w:rPr>
        <w:t xml:space="preserve"> </w:t>
      </w:r>
      <w:r>
        <w:rPr>
          <w:rStyle w:val="fontstyle21"/>
          <w:spacing w:val="-1"/>
        </w:rPr>
        <w:t xml:space="preserve">New Mexico</w:t>
      </w:r>
    </w:p>
    <w:p>
      <w:pPr>
        <w:spacing w:before="136" w:line="275" w:lineRule="exact"/>
        <w:ind w:left="1166" w:right="3249"/>
      </w:pPr>
      <w:r>
        <w:rPr>
          <w:rStyle w:val="fontstyle21"/>
          <w:spacing w:val="-1"/>
        </w:rPr>
        <w:t xml:space="preserve">New York</w:t>
      </w:r>
      <w:r>
        <w:rPr>
          <w:rStyle w:val="fontstyle21"/>
          <w:spacing w:val="1284"/>
        </w:rPr>
        <w:t xml:space="preserve"> </w:t>
      </w:r>
      <w:r>
        <w:rPr>
          <w:rStyle w:val="fontstyle21"/>
          <w:spacing w:val="-1"/>
        </w:rPr>
        <w:t xml:space="preserve">South Carolina</w:t>
      </w:r>
      <w:r>
        <w:rPr>
          <w:rStyle w:val="fontstyle21"/>
          <w:spacing w:val="640"/>
        </w:rPr>
        <w:t xml:space="preserve"> </w:t>
      </w:r>
      <w:r>
        <w:rPr>
          <w:rStyle w:val="fontstyle21"/>
          <w:spacing w:val="-1"/>
        </w:rPr>
        <w:t xml:space="preserve">Nebraska</w:t>
      </w:r>
      <w:r>
        <w:rPr>
          <w:rStyle w:val="fontstyle21"/>
          <w:spacing w:val="1204"/>
        </w:rPr>
        <w:t xml:space="preserve"> </w:t>
      </w:r>
      <w:r>
        <w:rPr>
          <w:rStyle w:val="fontstyle21"/>
          <w:spacing w:val="-1"/>
        </w:rPr>
        <w:t xml:space="preserve">Nevada</w:t>
      </w:r>
    </w:p>
    <w:p>
      <w:pPr>
        <w:spacing w:before="139" w:line="275" w:lineRule="exact"/>
        <w:ind w:left="1166" w:right="3275"/>
      </w:pPr>
      <w:r>
        <w:rPr>
          <w:rStyle w:val="fontstyle21"/>
          <w:spacing w:val="-1"/>
        </w:rPr>
        <w:t xml:space="preserve">Pennsylvania</w:t>
      </w:r>
      <w:r>
        <w:rPr>
          <w:rStyle w:val="fontstyle21"/>
          <w:spacing w:val="894"/>
        </w:rPr>
        <w:t xml:space="preserve"> </w:t>
      </w:r>
      <w:r>
        <w:rPr>
          <w:rStyle w:val="fontstyle21"/>
          <w:spacing w:val="-1"/>
        </w:rPr>
        <w:t xml:space="preserve">Tennessee</w:t>
      </w:r>
      <w:r>
        <w:rPr>
          <w:rStyle w:val="fontstyle21"/>
          <w:spacing w:val="1041"/>
        </w:rPr>
        <w:t xml:space="preserve"> </w:t>
      </w:r>
      <w:r>
        <w:rPr>
          <w:rStyle w:val="fontstyle21"/>
          <w:spacing w:val="-1"/>
        </w:rPr>
        <w:t xml:space="preserve">Ohio</w:t>
      </w:r>
      <w:r>
        <w:rPr>
          <w:rStyle w:val="fontstyle21"/>
          <w:spacing w:val="1726"/>
        </w:rPr>
        <w:t xml:space="preserve"> </w:t>
      </w:r>
      <w:r>
        <w:rPr>
          <w:rStyle w:val="fontstyle21"/>
          <w:spacing w:val="-1"/>
        </w:rPr>
        <w:t xml:space="preserve">Oregon</w:t>
      </w:r>
    </w:p>
    <w:p>
      <w:pPr>
        <w:spacing w:before="136" w:line="275" w:lineRule="exact"/>
        <w:ind w:left="1166" w:right="3572"/>
      </w:pPr>
      <w:r>
        <w:rPr>
          <w:rStyle w:val="fontstyle21"/>
          <w:spacing w:val="-1"/>
        </w:rPr>
        <w:t xml:space="preserve">Puerto Rico</w:t>
      </w:r>
      <w:r>
        <w:rPr>
          <w:rStyle w:val="fontstyle21"/>
          <w:spacing w:val="1071"/>
        </w:rPr>
        <w:t xml:space="preserve"> </w:t>
      </w:r>
      <w:r>
        <w:rPr>
          <w:rStyle w:val="fontstyle21"/>
          <w:spacing w:val="-1"/>
        </w:rPr>
        <w:t xml:space="preserve">Texas</w:t>
      </w:r>
      <w:r>
        <w:rPr>
          <w:rStyle w:val="fontstyle21"/>
          <w:spacing w:val="1575"/>
        </w:rPr>
        <w:t xml:space="preserve"> </w:t>
      </w:r>
      <w:r>
        <w:rPr>
          <w:rStyle w:val="fontstyle21"/>
          <w:spacing w:val="-1"/>
        </w:rPr>
        <w:t xml:space="preserve">Oklahoma</w:t>
      </w:r>
      <w:r>
        <w:rPr>
          <w:rStyle w:val="fontstyle21"/>
          <w:spacing w:val="1137"/>
        </w:rPr>
        <w:t xml:space="preserve"> </w:t>
      </w:r>
      <w:r>
        <w:rPr>
          <w:rStyle w:val="fontstyle21"/>
          <w:spacing w:val="-1"/>
        </w:rPr>
        <w:t xml:space="preserve">Utah</w:t>
      </w:r>
    </w:p>
    <w:p>
      <w:pPr>
        <w:spacing w:before="139" w:line="275" w:lineRule="exact"/>
        <w:ind w:left="1166" w:right="2810"/>
      </w:pPr>
      <w:r>
        <w:rPr>
          <w:rStyle w:val="fontstyle21"/>
          <w:spacing w:val="-1"/>
        </w:rPr>
        <w:t xml:space="preserve">Rhode Island</w:t>
      </w:r>
      <w:r>
        <w:rPr>
          <w:rStyle w:val="fontstyle21"/>
          <w:spacing w:val="909"/>
        </w:rPr>
        <w:t xml:space="preserve"> </w:t>
      </w:r>
      <w:r>
        <w:rPr>
          <w:rStyle w:val="fontstyle21"/>
          <w:spacing w:val="-1"/>
        </w:rPr>
        <w:t xml:space="preserve">Virginia</w:t>
      </w:r>
      <w:r>
        <w:rPr>
          <w:rStyle w:val="fontstyle21"/>
          <w:spacing w:val="1431"/>
        </w:rPr>
        <w:t xml:space="preserve"> </w:t>
      </w:r>
      <w:r>
        <w:rPr>
          <w:rStyle w:val="fontstyle21"/>
          <w:spacing w:val="-1"/>
        </w:rPr>
        <w:t xml:space="preserve">South Dakota</w:t>
      </w:r>
      <w:r>
        <w:rPr>
          <w:rStyle w:val="fontstyle21"/>
          <w:spacing w:val="777"/>
        </w:rPr>
        <w:t xml:space="preserve"> </w:t>
      </w:r>
      <w:r>
        <w:rPr>
          <w:rStyle w:val="fontstyle21"/>
          <w:spacing w:val="-1"/>
        </w:rPr>
        <w:t xml:space="preserve">Washington</w:t>
      </w:r>
    </w:p>
    <w:p>
      <w:pPr>
        <w:spacing w:before="136" w:line="275" w:lineRule="exact"/>
        <w:ind w:left="1166" w:right="3079"/>
      </w:pPr>
      <w:r>
        <w:rPr>
          <w:rStyle w:val="fontstyle21"/>
          <w:spacing w:val="-1"/>
        </w:rPr>
        <w:t xml:space="preserve">Vermont</w:t>
      </w:r>
      <w:r>
        <w:rPr>
          <w:rStyle w:val="fontstyle21"/>
          <w:spacing w:val="1415"/>
        </w:rPr>
        <w:t xml:space="preserve"> </w:t>
      </w:r>
      <w:r>
        <w:rPr>
          <w:rStyle w:val="fontstyle21"/>
          <w:spacing w:val="-1"/>
        </w:rPr>
        <w:t xml:space="preserve">West Virginia</w:t>
      </w:r>
      <w:r>
        <w:rPr>
          <w:rStyle w:val="fontstyle21"/>
          <w:spacing w:val="816"/>
        </w:rPr>
        <w:t xml:space="preserve"> </w:t>
      </w:r>
      <w:r>
        <w:rPr>
          <w:rStyle w:val="fontstyle21"/>
          <w:spacing w:val="-1"/>
        </w:rPr>
        <w:t xml:space="preserve">Wisconsin</w:t>
      </w:r>
      <w:r>
        <w:rPr>
          <w:rStyle w:val="fontstyle21"/>
          <w:spacing w:val="1138"/>
        </w:rPr>
        <w:t xml:space="preserve"> </w:t>
      </w:r>
      <w:r>
        <w:rPr>
          <w:rStyle w:val="fontstyle21"/>
          <w:spacing w:val="-1"/>
        </w:rPr>
        <w:t xml:space="preserve">Wyoming</w:t>
      </w:r>
    </w:p>
    <w:p>
      <w:pPr>
        <w:spacing w:before="158" w:line="218" w:lineRule="exact"/>
        <w:ind w:left="1166" w:right="1660"/>
      </w:pPr>
      <w:r>
        <w:rPr>
          <w:rStyle w:val="fontstyle22"/>
          <w:spacing w:val="-1"/>
        </w:rPr>
        <w:t xml:space="preserve">Note. Bureau of Indian Education, Guam, American Samoa, and U.S. Virgin Islands are not included in the table</w:t>
      </w:r>
    </w:p>
    <w:p>
      <w:pPr>
        <w:spacing w:before="0" w:line="218" w:lineRule="exact"/>
        <w:ind w:left="1166" w:right="5378"/>
      </w:pPr>
      <w:r>
        <w:rPr>
          <w:rStyle w:val="fontstyle22"/>
          <w:spacing w:val="-1"/>
        </w:rPr>
        <w:t xml:space="preserve">above because they are not included in NASP’s regional affiliations.</w:t>
      </w:r>
    </w:p>
    <w:p>
      <w:pPr>
        <w:spacing w:before="926" w:line="253" w:lineRule="exact"/>
        <w:ind w:left="1166" w:right="4199"/>
      </w:pPr>
      <w:r>
        <w:rPr>
          <w:rStyle w:val="fontstyle19"/>
          <w:spacing w:val="-1"/>
        </w:rPr>
        <w:t xml:space="preserve">Table 2. Region Means, Standard Deviations, and Standard Errors</w:t>
      </w:r>
    </w:p>
    <w:p>
      <w:pPr>
        <w:spacing w:before="184" w:line="275" w:lineRule="exact"/>
        <w:ind w:left="1166" w:right="5647"/>
      </w:pPr>
      <w:r>
        <w:rPr>
          <w:rStyle w:val="fontstyle23"/>
          <w:spacing w:val="-1"/>
        </w:rPr>
        <w:t xml:space="preserve">Region</w:t>
      </w:r>
      <w:r>
        <w:rPr>
          <w:rStyle w:val="fontstyle23"/>
          <w:spacing w:val="1547"/>
        </w:rPr>
        <w:t xml:space="preserve"> </w:t>
      </w:r>
      <w:r>
        <w:rPr>
          <w:rStyle w:val="fontstyle23"/>
          <w:spacing w:val="-1"/>
        </w:rPr>
        <w:t xml:space="preserve">N</w:t>
      </w:r>
      <w:r>
        <w:rPr>
          <w:rStyle w:val="fontstyle23"/>
          <w:spacing w:val="570"/>
        </w:rPr>
        <w:t xml:space="preserve"> </w:t>
      </w:r>
      <w:r>
        <w:rPr>
          <w:rStyle w:val="fontstyle23"/>
          <w:spacing w:val="-1"/>
        </w:rPr>
        <w:t xml:space="preserve">Mean</w:t>
      </w:r>
      <w:r>
        <w:rPr>
          <w:rStyle w:val="fontstyle23"/>
          <w:spacing w:val="485"/>
        </w:rPr>
        <w:t xml:space="preserve"> </w:t>
      </w:r>
      <w:r>
        <w:rPr>
          <w:rStyle w:val="fontstyle23"/>
          <w:spacing w:val="-1"/>
        </w:rPr>
        <w:t xml:space="preserve">SD</w:t>
      </w:r>
      <w:r>
        <w:rPr>
          <w:rStyle w:val="fontstyle23"/>
          <w:spacing w:val="293"/>
        </w:rPr>
        <w:t xml:space="preserve"> </w:t>
      </w:r>
      <w:r>
        <w:rPr>
          <w:rStyle w:val="fontstyle23"/>
          <w:spacing w:val="-1"/>
        </w:rPr>
        <w:t xml:space="preserve">SE</w:t>
      </w:r>
    </w:p>
    <w:p>
      <w:pPr>
        <w:spacing w:before="199" w:line="275" w:lineRule="exact"/>
        <w:ind w:left="1166" w:right="5565"/>
      </w:pPr>
      <w:r>
        <w:rPr>
          <w:rStyle w:val="fontstyle21"/>
          <w:spacing w:val="-1"/>
        </w:rPr>
        <w:t xml:space="preserve">Central</w:t>
      </w:r>
      <w:r>
        <w:rPr>
          <w:rStyle w:val="fontstyle21"/>
          <w:spacing w:val="1584"/>
        </w:rPr>
        <w:t xml:space="preserve"> </w:t>
      </w:r>
      <w:r>
        <w:rPr>
          <w:rStyle w:val="fontstyle24"/>
          <w:spacing w:val="-1"/>
        </w:rPr>
        <w:t xml:space="preserve">13</w:t>
      </w:r>
      <w:r>
        <w:rPr>
          <w:rStyle w:val="fontstyle24"/>
          <w:spacing w:val="474"/>
        </w:rPr>
        <w:t xml:space="preserve"> </w:t>
      </w:r>
      <w:r>
        <w:rPr>
          <w:rStyle w:val="fontstyle21"/>
          <w:spacing w:val="-1"/>
        </w:rPr>
        <w:t xml:space="preserve">1437</w:t>
      </w:r>
      <w:r>
        <w:rPr>
          <w:rStyle w:val="fontstyle21"/>
          <w:spacing w:val="565"/>
        </w:rPr>
        <w:t xml:space="preserve"> </w:t>
      </w:r>
      <w:r>
        <w:rPr>
          <w:rStyle w:val="fontstyle21"/>
          <w:spacing w:val="-1"/>
        </w:rPr>
        <w:t xml:space="preserve">840</w:t>
      </w:r>
      <w:r>
        <w:rPr>
          <w:rStyle w:val="fontstyle21"/>
          <w:spacing w:val="225"/>
        </w:rPr>
        <w:t xml:space="preserve"> </w:t>
      </w:r>
      <w:r>
        <w:rPr>
          <w:rStyle w:val="fontstyle21"/>
          <w:spacing w:val="-1"/>
        </w:rPr>
        <w:t xml:space="preserve">233</w:t>
      </w:r>
    </w:p>
    <w:p>
      <w:pPr>
        <w:spacing w:before="136" w:line="275" w:lineRule="exact"/>
        <w:ind w:left="1166" w:right="5498"/>
      </w:pPr>
      <w:r>
        <w:rPr>
          <w:rStyle w:val="fontstyle21"/>
          <w:spacing w:val="-1"/>
        </w:rPr>
        <w:t xml:space="preserve">Northeast (NE)</w:t>
      </w:r>
      <w:r>
        <w:rPr>
          <w:rStyle w:val="fontstyle21"/>
          <w:spacing w:val="758"/>
        </w:rPr>
        <w:t xml:space="preserve"> </w:t>
      </w:r>
      <w:r>
        <w:rPr>
          <w:rStyle w:val="fontstyle24"/>
          <w:spacing w:val="-1"/>
        </w:rPr>
        <w:t xml:space="preserve">13</w:t>
      </w:r>
      <w:r>
        <w:rPr>
          <w:rStyle w:val="fontstyle24"/>
          <w:spacing w:val="474"/>
        </w:rPr>
        <w:t xml:space="preserve"> </w:t>
      </w:r>
      <w:r>
        <w:rPr>
          <w:rStyle w:val="fontstyle21"/>
          <w:spacing w:val="-1"/>
        </w:rPr>
        <w:t xml:space="preserve">656</w:t>
      </w:r>
      <w:r>
        <w:rPr>
          <w:rStyle w:val="fontstyle21"/>
          <w:spacing w:val="697"/>
        </w:rPr>
        <w:t xml:space="preserve"> </w:t>
      </w:r>
      <w:r>
        <w:rPr>
          <w:rStyle w:val="fontstyle21"/>
          <w:spacing w:val="-1"/>
        </w:rPr>
        <w:t xml:space="preserve">251</w:t>
      </w:r>
      <w:r>
        <w:rPr>
          <w:rStyle w:val="fontstyle21"/>
          <w:spacing w:val="225"/>
        </w:rPr>
        <w:t xml:space="preserve"> </w:t>
      </w:r>
      <w:r>
        <w:rPr>
          <w:rStyle w:val="fontstyle21"/>
          <w:spacing w:val="-1"/>
        </w:rPr>
        <w:t xml:space="preserve">69.5</w:t>
      </w:r>
    </w:p>
    <w:p>
      <w:pPr>
        <w:spacing w:before="136" w:line="275" w:lineRule="exact"/>
        <w:ind w:left="1166" w:right="5565"/>
      </w:pPr>
      <w:r>
        <w:rPr>
          <w:rStyle w:val="fontstyle21"/>
          <w:spacing w:val="-1"/>
        </w:rPr>
        <w:t xml:space="preserve">Southeast (SE)</w:t>
      </w:r>
      <w:r>
        <w:rPr>
          <w:rStyle w:val="fontstyle21"/>
          <w:spacing w:val="729"/>
        </w:rPr>
        <w:t xml:space="preserve"> </w:t>
      </w:r>
      <w:r>
        <w:rPr>
          <w:rStyle w:val="fontstyle24"/>
          <w:spacing w:val="-1"/>
        </w:rPr>
        <w:t xml:space="preserve">11</w:t>
      </w:r>
      <w:r>
        <w:rPr>
          <w:rStyle w:val="fontstyle24"/>
          <w:spacing w:val="474"/>
        </w:rPr>
        <w:t xml:space="preserve"> </w:t>
      </w:r>
      <w:r>
        <w:rPr>
          <w:rStyle w:val="fontstyle21"/>
          <w:spacing w:val="-1"/>
        </w:rPr>
        <w:t xml:space="preserve">1928</w:t>
      </w:r>
      <w:r>
        <w:rPr>
          <w:rStyle w:val="fontstyle21"/>
          <w:spacing w:val="565"/>
        </w:rPr>
        <w:t xml:space="preserve"> </w:t>
      </w:r>
      <w:r>
        <w:rPr>
          <w:rStyle w:val="fontstyle21"/>
          <w:spacing w:val="-1"/>
        </w:rPr>
        <w:t xml:space="preserve">513</w:t>
      </w:r>
      <w:r>
        <w:rPr>
          <w:rStyle w:val="fontstyle21"/>
          <w:spacing w:val="225"/>
        </w:rPr>
        <w:t xml:space="preserve"> </w:t>
      </w:r>
      <w:r>
        <w:rPr>
          <w:rStyle w:val="fontstyle21"/>
          <w:spacing w:val="-1"/>
        </w:rPr>
        <w:t xml:space="preserve">155</w:t>
      </w:r>
    </w:p>
    <w:p>
      <w:pPr>
        <w:spacing w:before="139" w:line="275" w:lineRule="exact"/>
        <w:ind w:left="1166" w:right="5565"/>
      </w:pPr>
      <w:r>
        <w:rPr>
          <w:rStyle w:val="fontstyle21"/>
          <w:spacing w:val="-1"/>
        </w:rPr>
        <w:t xml:space="preserve">West</w:t>
      </w:r>
      <w:r>
        <w:rPr>
          <w:rStyle w:val="fontstyle21"/>
          <w:spacing w:val="1812"/>
        </w:rPr>
        <w:t xml:space="preserve"> </w:t>
      </w:r>
      <w:r>
        <w:rPr>
          <w:rStyle w:val="fontstyle24"/>
          <w:spacing w:val="-1"/>
        </w:rPr>
        <w:t xml:space="preserve">12</w:t>
      </w:r>
      <w:r>
        <w:rPr>
          <w:rStyle w:val="fontstyle24"/>
          <w:spacing w:val="474"/>
        </w:rPr>
        <w:t xml:space="preserve"> </w:t>
      </w:r>
      <w:r>
        <w:rPr>
          <w:rStyle w:val="fontstyle21"/>
          <w:spacing w:val="-1"/>
        </w:rPr>
        <w:t xml:space="preserve">1236</w:t>
      </w:r>
      <w:r>
        <w:rPr>
          <w:rStyle w:val="fontstyle21"/>
          <w:spacing w:val="565"/>
        </w:rPr>
        <w:t xml:space="preserve"> </w:t>
      </w:r>
      <w:r>
        <w:rPr>
          <w:rStyle w:val="fontstyle21"/>
          <w:spacing w:val="-1"/>
        </w:rPr>
        <w:t xml:space="preserve">453</w:t>
      </w:r>
      <w:r>
        <w:rPr>
          <w:rStyle w:val="fontstyle21"/>
          <w:spacing w:val="225"/>
        </w:rPr>
        <w:t xml:space="preserve"> </w:t>
      </w:r>
      <w:r>
        <w:rPr>
          <w:rStyle w:val="fontstyle21"/>
          <w:spacing w:val="-1"/>
        </w:rPr>
        <w:t xml:space="preserve">131</w:t>
      </w:r>
    </w:p>
    <w:p>
      <w:pPr>
        <w:spacing w:before="177" w:line="218" w:lineRule="exact"/>
        <w:ind w:left="1166" w:right="1269"/>
      </w:pPr>
      <w:r>
        <w:rPr>
          <w:rStyle w:val="fontstyle22"/>
          <w:spacing w:val="-1"/>
        </w:rPr>
        <w:t xml:space="preserve">Note. SE and West regions include only 11 and 12 states, respectively, in descriptive calculations because Alabama,</w:t>
      </w:r>
    </w:p>
    <w:p>
      <w:pPr>
        <w:spacing w:before="0" w:line="218" w:lineRule="exact"/>
        <w:ind w:left="1166" w:right="3890"/>
      </w:pPr>
      <w:r>
        <w:rPr>
          <w:rStyle w:val="fontstyle22"/>
          <w:spacing w:val="-1"/>
        </w:rPr>
        <w:t xml:space="preserve">Mississippi, and New Mexico were not included over concerns that they were outliers.</w:t>
      </w:r>
    </w:p>
    <w:p>
      <w:pPr>
        <w:spacing w:before="645" w:line="253" w:lineRule="exact"/>
        <w:ind w:left="1166" w:right="1655"/>
      </w:pPr>
      <w:r>
        <w:rPr>
          <w:rStyle w:val="fontstyle08"/>
          <w:spacing w:val="-1"/>
        </w:rPr>
        <w:t xml:space="preserve">Figure 4 plots the 2023–2024 ratio against the number of graduate programs in each territory. As</w:t>
      </w:r>
    </w:p>
    <w:p>
      <w:pPr>
        <w:spacing w:before="0" w:line="253" w:lineRule="exact"/>
        <w:ind w:left="1166" w:right="1291"/>
      </w:pPr>
      <w:r>
        <w:rPr>
          <w:rStyle w:val="fontstyle08"/>
          <w:spacing w:val="-1"/>
        </w:rPr>
        <w:t xml:space="preserve">shown by the data, there is no significant association between the number of graduate programs in a</w:t>
      </w:r>
    </w:p>
    <w:p>
      <w:pPr>
        <w:spacing w:before="0" w:line="253" w:lineRule="exact"/>
        <w:ind w:left="1166" w:right="3594"/>
      </w:pPr>
      <w:r>
        <w:rPr>
          <w:rStyle w:val="fontstyle08"/>
          <w:spacing w:val="-1"/>
        </w:rPr>
        <w:t xml:space="preserve">territory and its ratio of students to school psychologists </w:t>
      </w:r>
      <w:r>
        <w:rPr>
          <w:rStyle w:val="fontstyle13"/>
          <w:spacing w:val="-1"/>
        </w:rPr>
        <w:t xml:space="preserve">r</w:t>
      </w:r>
      <w:r>
        <w:rPr>
          <w:rStyle w:val="fontstyle08"/>
          <w:spacing w:val="-1"/>
        </w:rPr>
        <w:t xml:space="preserve">(49) =</w:t>
      </w:r>
      <w:r>
        <w:rPr>
          <w:rStyle w:val="fontstyle17"/>
          <w:spacing w:val="-1"/>
        </w:rPr>
        <w:t xml:space="preserve">−</w:t>
      </w:r>
      <w:r>
        <w:rPr>
          <w:rStyle w:val="fontstyle08"/>
          <w:spacing w:val="-1"/>
        </w:rPr>
        <w:t xml:space="preserve">.08, </w:t>
      </w:r>
      <w:r>
        <w:rPr>
          <w:rStyle w:val="fontstyle13"/>
          <w:spacing w:val="-1"/>
        </w:rPr>
        <w:t xml:space="preserve">p</w:t>
      </w:r>
      <w:r>
        <w:rPr>
          <w:rStyle w:val="fontstyle08"/>
          <w:spacing w:val="-1"/>
        </w:rPr>
        <w:t xml:space="preserve">= .59.</w:t>
      </w:r>
    </w:p>
    <w:p>
      <w:pPr>
        <w:spacing w:before="1560" w:line="184" w:lineRule="exact"/>
        <w:ind w:left="1166" w:right="1172"/>
      </w:pPr>
      <w:r>
        <w:rPr>
          <w:rStyle w:val="fontstyle02"/>
          <w:spacing w:val="-1"/>
        </w:rPr>
        <w:t xml:space="preserve">NASP Research Reports</w:t>
      </w:r>
      <w:r>
        <w:rPr>
          <w:rStyle w:val="fontstyle02"/>
          <w:spacing w:val="7905"/>
        </w:rPr>
        <w:t xml:space="preserve"> </w:t>
      </w:r>
      <w:r>
        <w:rPr>
          <w:rStyle w:val="fontstyle03"/>
          <w:spacing w:val="-1"/>
        </w:rPr>
        <w:t xml:space="preserve">5</w:t>
      </w:r>
    </w:p>
    <w:p>
      <w:pPr>
        <w:spacing w:before="57" w:line="184" w:lineRule="exact"/>
        <w:ind w:left="1166" w:right="2676"/>
      </w:pPr>
      <w:r>
        <w:rPr>
          <w:rStyle w:val="fontstyle03"/>
          <w:spacing w:val="2"/>
        </w:rPr>
        <w:t xml:space="preserve">©2025 National Association of School Psychologists </w:t>
      </w:r>
      <w:r>
        <w:rPr>
          <w:rStyle w:val="fontstyle04"/>
          <w:spacing w:val="23"/>
        </w:rPr>
        <w:t xml:space="preserve">│ </w:t>
      </w:r>
      <w:r>
        <w:rPr>
          <w:rStyle w:val="fontstyle05"/>
        </w:rPr>
        <w:t xml:space="preserve">w</w:t>
      </w:r>
      <w:r>
        <w:rPr>
          <w:rStyle w:val="fontstyle05"/>
          <w:spacing w:val="2"/>
          <w:u w:val="single"/>
        </w:rPr>
        <w:t xml:space="preserve">ww.nasponline.org</w:t>
      </w:r>
      <w:r>
        <w:rPr>
          <w:rStyle w:val="fontstyle04"/>
          <w:spacing w:val="32"/>
        </w:rPr>
        <w:t xml:space="preserve"> │ </w:t>
      </w:r>
      <w:r>
        <w:rPr>
          <w:rStyle w:val="fontstyle03"/>
          <w:spacing w:val="2"/>
        </w:rPr>
        <w:t xml:space="preserve">301-657-0270 </w:t>
      </w:r>
      <w:r>
        <w:rPr>
          <w:rStyle w:val="fontstyle04"/>
          <w:spacing w:val="24"/>
        </w:rPr>
        <w:t xml:space="preserve">│ </w:t>
      </w:r>
      <w:r>
        <w:rPr>
          <w:rStyle w:val="fontstyle03"/>
          <w:spacing w:val="2"/>
        </w:rPr>
        <w:t xml:space="preserve">866-331-6277</w:t>
      </w:r>
    </w:p>
    <w:p>
      <w:pPr>
        <w:sectPr>
          <w:pgSz w:w="12240" w:h="15840" w:orient="portrait"/>
          <w:pgMar w:top="0" w:right="0" w:bottom="0" w:left="0"/>
        </w:sectPr>
        <w:spacing w:line="1" w:lineRule="exact"/>
      </w:pPr>
    </w:p>
    <w:p>
      <w:pPr>
        <w:spacing w:line="1" w:lineRule="exact"/>
      </w:pPr>
      <w:r>
        <w:rPr>
          <w:noProof/>
        </w:rPr>
        <w:drawing>
          <wp:anchor distT="0" distB="0" distL="0" distR="0" simplePos="0" relativeHeight="68608" behindDoc="1" locked="0" layoutInCell="0" allowOverlap="1" hidden="0">
            <wp:simplePos x="0" y="0"/>
            <wp:positionH relativeFrom="page">
              <wp:posOffset>739775</wp:posOffset>
            </wp:positionH>
            <wp:positionV relativeFrom="page">
              <wp:posOffset>5620385</wp:posOffset>
            </wp:positionV>
            <wp:extent cx="4041139" cy="3611425"/>
            <wp:effectExtent l="0" t="0" r="0" b="0"/>
            <wp:wrapNone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 preferRelativeResize="0">
                      <a:picLocks noChangeArrowheads="1"/>
                    </pic:cNvPicPr>
                  </pic:nvPicPr>
                  <pic:blipFill>
                    <a:blip r:embed="rId11">
                      <a:alphaModFix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139" cy="361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9632" behindDoc="1" locked="0" layoutInCell="0" allowOverlap="1" hidden="0">
            <wp:simplePos x="0" y="0"/>
            <wp:positionH relativeFrom="page">
              <wp:posOffset>740410</wp:posOffset>
            </wp:positionH>
            <wp:positionV relativeFrom="page">
              <wp:posOffset>1258544</wp:posOffset>
            </wp:positionV>
            <wp:extent cx="3693794" cy="3300643"/>
            <wp:effectExtent l="0" t="0" r="0" b="0"/>
            <wp:wrapNone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12">
                      <a:alphaModFix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794" cy="3300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1" w:lineRule="exact"/>
      </w:pPr>
      <w:r>
        <w:rPr>
          <w:noProof/>
        </w:rPr>
        <w:drawing>
          <wp:anchor distT="0" distB="0" distL="0" distR="0" simplePos="0" relativeHeight="67584" behindDoc="1" locked="0" layoutInCell="0" allowOverlap="1" hidden="0">
            <wp:simplePos x="0" y="0"/>
            <wp:positionH relativeFrom="page">
              <wp:posOffset>727074</wp:posOffset>
            </wp:positionH>
            <wp:positionV relativeFrom="page">
              <wp:posOffset>9368790</wp:posOffset>
            </wp:positionV>
            <wp:extent cx="6382385" cy="3"/>
            <wp:effectExtent l="0" t="0" r="0" b="0"/>
            <wp:wrapNone/>
            <wp:docPr id="19" name="Freeform: Shape 19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382385" cy="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6382385" h="0">
                          <a:moveTo>
                            <a:pt x="0" y="0"/>
                          </a:moveTo>
                          <a:lnTo>
                            <a:pt x="6382385" y="0"/>
                          </a:lnTo>
                          <a:close/>
                        </a:path>
                      </a:pathLst>
                    </a:custGeom>
                    <a:noFill/>
                    <a:ln w="9525">
                      <a:solidFill>
                        <a:srgbClr val="000000"/>
                      </a:solidFill>
                    </a:ln>
                  </wps:spPr>
                  <wps:bodyPr/>
                </wps:wsp>
              </a:graphicData>
            </a:graphic>
          </wp:anchor>
        </w:drawing>
      </w:r>
    </w:p>
    <w:p>
      <w:pPr>
        <w:spacing w:before="686" w:line="184" w:lineRule="exact"/>
        <w:ind w:left="1166" w:right="3239"/>
      </w:pPr>
      <w:r>
        <w:rPr>
          <w:rStyle w:val="fontstyle03"/>
          <w:spacing w:val="12"/>
        </w:rPr>
        <w:t xml:space="preserve">Data Brief: 2023–2024 Ratio of Students to FTE School Psychologists in U.S. Public Schools</w:t>
      </w:r>
    </w:p>
    <w:p>
      <w:pPr>
        <w:spacing w:before="377" w:line="253" w:lineRule="exact"/>
        <w:ind w:left="1166" w:right="2052"/>
      </w:pPr>
      <w:r>
        <w:rPr>
          <w:rStyle w:val="fontstyle19"/>
          <w:spacing w:val="-1"/>
        </w:rPr>
        <w:t xml:space="preserve">Figure 4. Scatterplot of 2023–2024 Student to School Psychologist Ratio by Number of</w:t>
      </w:r>
    </w:p>
    <w:p>
      <w:pPr>
        <w:spacing w:before="0" w:line="251" w:lineRule="exact"/>
        <w:ind w:left="1166" w:right="7795"/>
      </w:pPr>
      <w:r>
        <w:rPr>
          <w:rStyle w:val="fontstyle19"/>
          <w:spacing w:val="-1"/>
        </w:rPr>
        <w:t xml:space="preserve">Graduate Programs in Territory</w:t>
      </w:r>
    </w:p>
    <w:p>
      <w:pPr>
        <w:spacing w:before="5654" w:line="253" w:lineRule="exact"/>
        <w:ind w:left="1166" w:right="1215"/>
      </w:pPr>
      <w:r>
        <w:rPr>
          <w:rStyle w:val="fontstyle08"/>
          <w:spacing w:val="-1"/>
        </w:rPr>
        <w:t xml:space="preserve">Figure 5 plots the 2023–2024 student to school psychologist ratio against the population of a territory.</w:t>
      </w:r>
    </w:p>
    <w:p>
      <w:pPr>
        <w:spacing w:before="0" w:line="253" w:lineRule="exact"/>
        <w:ind w:left="1166" w:right="1341"/>
      </w:pPr>
      <w:r>
        <w:rPr>
          <w:rStyle w:val="fontstyle08"/>
          <w:spacing w:val="-1"/>
        </w:rPr>
        <w:t xml:space="preserve">As shown by the data, there is no significant association between the population of a territory and its</w:t>
      </w:r>
    </w:p>
    <w:p>
      <w:pPr>
        <w:spacing w:before="0" w:line="253" w:lineRule="exact"/>
        <w:ind w:left="1166" w:right="5243"/>
      </w:pPr>
      <w:r>
        <w:rPr>
          <w:rStyle w:val="fontstyle08"/>
          <w:spacing w:val="-1"/>
        </w:rPr>
        <w:t xml:space="preserve">ratio of students to school psychologists</w:t>
      </w:r>
      <w:r>
        <w:rPr>
          <w:rStyle w:val="fontstyle13"/>
          <w:spacing w:val="-1"/>
        </w:rPr>
        <w:t xml:space="preserve">r</w:t>
      </w:r>
      <w:r>
        <w:rPr>
          <w:rStyle w:val="fontstyle08"/>
          <w:spacing w:val="-1"/>
        </w:rPr>
        <w:t xml:space="preserve">(49) = .05, </w:t>
      </w:r>
      <w:r>
        <w:rPr>
          <w:rStyle w:val="fontstyle13"/>
          <w:spacing w:val="-1"/>
        </w:rPr>
        <w:t xml:space="preserve">p</w:t>
      </w:r>
      <w:r>
        <w:rPr>
          <w:rStyle w:val="fontstyle08"/>
          <w:spacing w:val="-1"/>
        </w:rPr>
        <w:t xml:space="preserve">= .75.</w:t>
      </w:r>
    </w:p>
    <w:p>
      <w:pPr>
        <w:spacing w:before="197" w:line="253" w:lineRule="exact"/>
        <w:ind w:left="1166" w:right="1238"/>
      </w:pPr>
      <w:r>
        <w:rPr>
          <w:rStyle w:val="fontstyle19"/>
          <w:spacing w:val="-3"/>
        </w:rPr>
        <w:t xml:space="preserve">Figure 5. Scatterplot of 2023–2024 Student to School Psychologist Ratio by Territory Population</w:t>
      </w:r>
    </w:p>
    <w:p>
      <w:pPr>
        <w:spacing w:before="6312" w:line="184" w:lineRule="exact"/>
        <w:ind w:left="1166" w:right="1172"/>
      </w:pPr>
      <w:r>
        <w:rPr>
          <w:rStyle w:val="fontstyle02"/>
          <w:spacing w:val="-1"/>
        </w:rPr>
        <w:t xml:space="preserve">NASP Research Reports</w:t>
      </w:r>
      <w:r>
        <w:rPr>
          <w:rStyle w:val="fontstyle02"/>
          <w:spacing w:val="7905"/>
        </w:rPr>
        <w:t xml:space="preserve"> </w:t>
      </w:r>
      <w:r>
        <w:rPr>
          <w:rStyle w:val="fontstyle03"/>
          <w:spacing w:val="-1"/>
        </w:rPr>
        <w:t xml:space="preserve">6</w:t>
      </w:r>
    </w:p>
    <w:p>
      <w:pPr>
        <w:spacing w:before="57" w:line="184" w:lineRule="exact"/>
        <w:ind w:left="1166" w:right="2676"/>
      </w:pPr>
      <w:r>
        <w:rPr>
          <w:rStyle w:val="fontstyle03"/>
          <w:spacing w:val="2"/>
        </w:rPr>
        <w:t xml:space="preserve">©2025 National Association of School Psychologists </w:t>
      </w:r>
      <w:r>
        <w:rPr>
          <w:rStyle w:val="fontstyle04"/>
          <w:spacing w:val="23"/>
        </w:rPr>
        <w:t xml:space="preserve">│ </w:t>
      </w:r>
      <w:r>
        <w:rPr>
          <w:rStyle w:val="fontstyle05"/>
        </w:rPr>
        <w:t xml:space="preserve">w</w:t>
      </w:r>
      <w:r>
        <w:rPr>
          <w:rStyle w:val="fontstyle05"/>
          <w:spacing w:val="2"/>
          <w:u w:val="single"/>
        </w:rPr>
        <w:t xml:space="preserve">ww.nasponline.org</w:t>
      </w:r>
      <w:r>
        <w:rPr>
          <w:rStyle w:val="fontstyle04"/>
          <w:spacing w:val="32"/>
        </w:rPr>
        <w:t xml:space="preserve"> │ </w:t>
      </w:r>
      <w:r>
        <w:rPr>
          <w:rStyle w:val="fontstyle03"/>
          <w:spacing w:val="2"/>
        </w:rPr>
        <w:t xml:space="preserve">301-657-0270 </w:t>
      </w:r>
      <w:r>
        <w:rPr>
          <w:rStyle w:val="fontstyle04"/>
          <w:spacing w:val="24"/>
        </w:rPr>
        <w:t xml:space="preserve">│ </w:t>
      </w:r>
      <w:r>
        <w:rPr>
          <w:rStyle w:val="fontstyle03"/>
          <w:spacing w:val="2"/>
        </w:rPr>
        <w:t xml:space="preserve">866-331-6277</w:t>
      </w:r>
    </w:p>
    <w:p>
      <w:pPr>
        <w:sectPr>
          <w:pgSz w:w="12240" w:h="15840" w:orient="portrait"/>
          <w:pgMar w:top="0" w:right="0" w:bottom="0" w:left="0"/>
        </w:sectPr>
        <w:spacing w:line="1" w:lineRule="exact"/>
      </w:pPr>
    </w:p>
    <w:p>
      <w:pPr>
        <w:spacing w:line="1" w:lineRule="exact"/>
      </w:pPr>
      <w:r>
        <w:rPr>
          <w:noProof/>
        </w:rPr>
        <w:drawing>
          <wp:anchor distT="0" distB="0" distL="0" distR="0" simplePos="0" relativeHeight="72704" behindDoc="1" locked="0" layoutInCell="0" allowOverlap="1" hidden="0">
            <wp:simplePos x="0" y="0"/>
            <wp:positionH relativeFrom="page">
              <wp:posOffset>740410</wp:posOffset>
            </wp:positionH>
            <wp:positionV relativeFrom="page">
              <wp:posOffset>1867466</wp:posOffset>
            </wp:positionV>
            <wp:extent cx="3666461" cy="3300729"/>
            <wp:effectExtent l="0" t="0" r="0" b="0"/>
            <wp:wrapNone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 preferRelativeResize="0">
                      <a:picLocks noChangeArrowheads="1"/>
                    </pic:cNvPicPr>
                  </pic:nvPicPr>
                  <pic:blipFill>
                    <a:blip r:embed="rId13">
                      <a:alphaModFix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461" cy="3300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1" w:lineRule="exact"/>
      </w:pPr>
      <w:r>
        <w:rPr>
          <w:noProof/>
        </w:rPr>
        <w:drawing>
          <wp:anchor distT="0" distB="0" distL="0" distR="0" simplePos="0" relativeHeight="71680" behindDoc="1" locked="0" layoutInCell="0" allowOverlap="1" hidden="0">
            <wp:simplePos x="0" y="0"/>
            <wp:positionH relativeFrom="page">
              <wp:posOffset>727074</wp:posOffset>
            </wp:positionH>
            <wp:positionV relativeFrom="page">
              <wp:posOffset>9368790</wp:posOffset>
            </wp:positionV>
            <wp:extent cx="6382385" cy="3"/>
            <wp:effectExtent l="0" t="0" r="0" b="0"/>
            <wp:wrapNone/>
            <wp:docPr id="21" name="Freeform: Shape 21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382385" cy="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6382385" h="0">
                          <a:moveTo>
                            <a:pt x="0" y="0"/>
                          </a:moveTo>
                          <a:lnTo>
                            <a:pt x="6382385" y="0"/>
                          </a:lnTo>
                          <a:close/>
                        </a:path>
                      </a:pathLst>
                    </a:custGeom>
                    <a:noFill/>
                    <a:ln w="9525">
                      <a:solidFill>
                        <a:srgbClr val="000000"/>
                      </a:solidFill>
                    </a:ln>
                  </wps:spPr>
                  <wps:bodyPr/>
                </wps:wsp>
              </a:graphicData>
            </a:graphic>
          </wp:anchor>
        </w:drawing>
      </w:r>
    </w:p>
    <w:p>
      <w:pPr>
        <w:spacing w:before="686" w:line="184" w:lineRule="exact"/>
        <w:ind w:left="1166" w:right="3239"/>
      </w:pPr>
      <w:r>
        <w:rPr>
          <w:rStyle w:val="fontstyle03"/>
          <w:spacing w:val="12"/>
        </w:rPr>
        <w:t xml:space="preserve">Data Brief: 2023–2024 Ratio of Students to FTE School Psychologists in U.S. Public Schools</w:t>
      </w:r>
    </w:p>
    <w:p>
      <w:pPr>
        <w:spacing w:before="377" w:line="253" w:lineRule="exact"/>
        <w:ind w:left="1166" w:right="1398"/>
      </w:pPr>
      <w:r>
        <w:rPr>
          <w:rStyle w:val="fontstyle08"/>
          <w:spacing w:val="-1"/>
        </w:rPr>
        <w:t xml:space="preserve">Figure 6 plots the 2023–2024 student to school psychologist ratio against the average salary for the</w:t>
      </w:r>
    </w:p>
    <w:p>
      <w:pPr>
        <w:spacing w:before="0" w:line="251" w:lineRule="exact"/>
        <w:ind w:left="1166" w:right="1206"/>
      </w:pPr>
      <w:r>
        <w:rPr>
          <w:rStyle w:val="fontstyle08"/>
          <w:spacing w:val="-1"/>
        </w:rPr>
        <w:t xml:space="preserve">territory in 2022. As shown by the data, there is no significant association between the average salary</w:t>
      </w:r>
    </w:p>
    <w:p>
      <w:pPr>
        <w:spacing w:before="0" w:line="253" w:lineRule="exact"/>
        <w:ind w:left="1166" w:right="1212"/>
      </w:pPr>
      <w:r>
        <w:rPr>
          <w:rStyle w:val="fontstyle08"/>
          <w:spacing w:val="-1"/>
        </w:rPr>
        <w:t xml:space="preserve">of a school psychologist in a territory and its ratio of students to school psychologists </w:t>
      </w:r>
      <w:r>
        <w:rPr>
          <w:rStyle w:val="fontstyle13"/>
          <w:spacing w:val="-1"/>
        </w:rPr>
        <w:t xml:space="preserve">r</w:t>
      </w:r>
      <w:r>
        <w:rPr>
          <w:rStyle w:val="fontstyle08"/>
          <w:spacing w:val="-1"/>
        </w:rPr>
        <w:t xml:space="preserve">(49) =</w:t>
      </w:r>
      <w:r>
        <w:rPr>
          <w:rStyle w:val="fontstyle17"/>
          <w:spacing w:val="-1"/>
        </w:rPr>
        <w:t xml:space="preserve">−</w:t>
      </w:r>
      <w:r>
        <w:rPr>
          <w:rStyle w:val="fontstyle08"/>
          <w:spacing w:val="-1"/>
        </w:rPr>
        <w:t xml:space="preserve">.08, </w:t>
      </w:r>
      <w:r>
        <w:rPr>
          <w:rStyle w:val="fontstyle13"/>
          <w:spacing w:val="-1"/>
        </w:rPr>
        <w:t xml:space="preserve">p</w:t>
      </w:r>
      <w:r>
        <w:rPr>
          <w:rStyle w:val="fontstyle08"/>
          <w:spacing w:val="-2"/>
        </w:rPr>
        <w:t xml:space="preserve">=</w:t>
      </w:r>
    </w:p>
    <w:p>
      <w:pPr>
        <w:spacing w:before="0" w:line="253" w:lineRule="exact"/>
        <w:ind w:left="1166" w:right="10705"/>
      </w:pPr>
      <w:r>
        <w:rPr>
          <w:rStyle w:val="fontstyle08"/>
          <w:spacing w:val="-1"/>
        </w:rPr>
        <w:t xml:space="preserve">.60.</w:t>
      </w:r>
    </w:p>
    <w:p>
      <w:pPr>
        <w:spacing w:before="197" w:line="253" w:lineRule="exact"/>
        <w:ind w:left="1166" w:right="1562"/>
      </w:pPr>
      <w:r>
        <w:rPr>
          <w:rStyle w:val="fontstyle19"/>
          <w:spacing w:val="-1"/>
        </w:rPr>
        <w:t xml:space="preserve">Figure 6. Scatterplot of 2023–2024 Student to School Psychologist Ratio by Average Salary</w:t>
      </w:r>
    </w:p>
    <w:p>
      <w:pPr>
        <w:spacing w:before="5889" w:line="298" w:lineRule="exact"/>
        <w:ind w:left="1166" w:right="9470"/>
      </w:pPr>
      <w:r>
        <w:rPr>
          <w:rStyle w:val="fontstyle07"/>
          <w:spacing w:val="-1"/>
        </w:rPr>
        <w:t xml:space="preserve">HIGHLIGHTS</w:t>
      </w:r>
    </w:p>
    <w:p>
      <w:pPr>
        <w:spacing w:before="247" w:line="253" w:lineRule="exact"/>
        <w:ind w:left="1166" w:right="1464"/>
      </w:pPr>
      <w:r>
        <w:rPr>
          <w:rStyle w:val="fontstyle16"/>
          <w:spacing w:val="39"/>
        </w:rPr>
        <w:t xml:space="preserve">• </w:t>
      </w:r>
      <w:r>
        <w:rPr>
          <w:rStyle w:val="fontstyle08"/>
          <w:spacing w:val="-1"/>
        </w:rPr>
        <w:t xml:space="preserve">The national ratio of students per school psychologist was 1,065 to 1 in 2023–2024. This was a</w:t>
      </w:r>
    </w:p>
    <w:p>
      <w:pPr>
        <w:spacing w:before="0" w:line="251" w:lineRule="exact"/>
        <w:ind w:left="1526" w:right="5332"/>
      </w:pPr>
      <w:r>
        <w:rPr>
          <w:rStyle w:val="fontstyle08"/>
          <w:spacing w:val="-1"/>
        </w:rPr>
        <w:t xml:space="preserve">5.5% decrease from a ratio of 1,127 to 1 in 2021–2022.</w:t>
      </w:r>
    </w:p>
    <w:p>
      <w:pPr>
        <w:spacing w:before="58" w:line="253" w:lineRule="exact"/>
        <w:ind w:left="1166" w:right="1482"/>
      </w:pPr>
      <w:r>
        <w:rPr>
          <w:rStyle w:val="fontstyle16"/>
          <w:spacing w:val="39"/>
        </w:rPr>
        <w:t xml:space="preserve">• </w:t>
      </w:r>
      <w:r>
        <w:rPr>
          <w:rStyle w:val="fontstyle08"/>
          <w:spacing w:val="-1"/>
        </w:rPr>
        <w:t xml:space="preserve">More than two thirds of U.S. territories decreased their ratio of students to school psychologists</w:t>
      </w:r>
    </w:p>
    <w:p>
      <w:pPr>
        <w:spacing w:before="0" w:line="253" w:lineRule="exact"/>
        <w:ind w:left="1526" w:right="2812"/>
      </w:pPr>
      <w:r>
        <w:rPr>
          <w:rStyle w:val="fontstyle08"/>
          <w:spacing w:val="-1"/>
        </w:rPr>
        <w:t xml:space="preserve">(i.e., had fewer students per school psychologist) from 2022–2023 to 2023–2024.</w:t>
      </w:r>
    </w:p>
    <w:p>
      <w:pPr>
        <w:spacing w:before="58" w:line="253" w:lineRule="exact"/>
        <w:ind w:left="1166" w:right="1406"/>
      </w:pPr>
      <w:r>
        <w:rPr>
          <w:rStyle w:val="fontstyle16"/>
          <w:spacing w:val="39"/>
        </w:rPr>
        <w:t xml:space="preserve">• </w:t>
      </w:r>
      <w:r>
        <w:rPr>
          <w:rStyle w:val="fontstyle08"/>
          <w:spacing w:val="-1"/>
        </w:rPr>
        <w:t xml:space="preserve">The largest ratio decreases by percentage change (i.e., fewer students per school psychologist)</w:t>
      </w:r>
    </w:p>
    <w:p>
      <w:pPr>
        <w:spacing w:before="0" w:line="253" w:lineRule="exact"/>
        <w:ind w:left="1526" w:right="1248"/>
      </w:pPr>
      <w:r>
        <w:rPr>
          <w:rStyle w:val="fontstyle08"/>
          <w:spacing w:val="-1"/>
        </w:rPr>
        <w:t xml:space="preserve">were observed in Maine, Alabama, New Mexico, North Dakota, and Rhode Island. All had greater</w:t>
      </w:r>
    </w:p>
    <w:p>
      <w:pPr>
        <w:spacing w:before="0" w:line="251" w:lineRule="exact"/>
        <w:ind w:left="1526" w:right="5576"/>
      </w:pPr>
      <w:r>
        <w:rPr>
          <w:rStyle w:val="fontstyle08"/>
          <w:spacing w:val="-1"/>
        </w:rPr>
        <w:t xml:space="preserve">than 15% decreases from 2022–2023 to 2023–2024.</w:t>
      </w:r>
    </w:p>
    <w:p>
      <w:pPr>
        <w:spacing w:before="58" w:line="253" w:lineRule="exact"/>
        <w:ind w:left="1166" w:right="2408"/>
      </w:pPr>
      <w:r>
        <w:rPr>
          <w:rStyle w:val="fontstyle16"/>
          <w:spacing w:val="39"/>
        </w:rPr>
        <w:t xml:space="preserve">• </w:t>
      </w:r>
      <w:r>
        <w:rPr>
          <w:rStyle w:val="fontstyle08"/>
          <w:spacing w:val="-1"/>
        </w:rPr>
        <w:t xml:space="preserve">The largest ratio increases by percentage change (i.e., increased students per school</w:t>
      </w:r>
    </w:p>
    <w:p>
      <w:pPr>
        <w:spacing w:before="0" w:line="253" w:lineRule="exact"/>
        <w:ind w:left="1526" w:right="1247"/>
      </w:pPr>
      <w:r>
        <w:rPr>
          <w:rStyle w:val="fontstyle08"/>
          <w:spacing w:val="-1"/>
        </w:rPr>
        <w:t xml:space="preserve">psychologist) were observed in the U.S. Virgin Islands, Utah, Hawaii, and Mississippi, which each</w:t>
      </w:r>
    </w:p>
    <w:p>
      <w:pPr>
        <w:spacing w:before="0" w:line="251" w:lineRule="exact"/>
        <w:ind w:left="1526" w:right="4388"/>
      </w:pPr>
      <w:r>
        <w:rPr>
          <w:rStyle w:val="fontstyle08"/>
          <w:spacing w:val="-1"/>
        </w:rPr>
        <w:t xml:space="preserve">had a greater than 10% increase from 2022–2023 to 2023–2024.</w:t>
      </w:r>
    </w:p>
    <w:p>
      <w:pPr>
        <w:spacing w:before="60" w:line="253" w:lineRule="exact"/>
        <w:ind w:left="1166" w:right="1489"/>
      </w:pPr>
      <w:r>
        <w:rPr>
          <w:rStyle w:val="fontstyle16"/>
          <w:spacing w:val="39"/>
        </w:rPr>
        <w:t xml:space="preserve">• </w:t>
      </w:r>
      <w:r>
        <w:rPr>
          <w:rStyle w:val="fontstyle08"/>
          <w:spacing w:val="-1"/>
        </w:rPr>
        <w:t xml:space="preserve">The Northeast region had significantly smaller 2023–2024 student to school psychologist ratios</w:t>
      </w:r>
    </w:p>
    <w:p>
      <w:pPr>
        <w:spacing w:before="0" w:line="251" w:lineRule="exact"/>
        <w:ind w:left="1526" w:right="1678"/>
      </w:pPr>
      <w:r>
        <w:rPr>
          <w:rStyle w:val="fontstyle08"/>
          <w:spacing w:val="-1"/>
        </w:rPr>
        <w:t xml:space="preserve">(i.e., fewer students per school psychologist) than all other regions. The Western and Central</w:t>
      </w:r>
    </w:p>
    <w:p>
      <w:pPr>
        <w:spacing w:before="0" w:line="251" w:lineRule="exact"/>
        <w:ind w:left="1526" w:right="1906"/>
      </w:pPr>
      <w:r>
        <w:rPr>
          <w:rStyle w:val="fontstyle08"/>
          <w:spacing w:val="-1"/>
        </w:rPr>
        <w:t xml:space="preserve">regions had a significantly smaller 2023–2024 student to school psychologist ratio than the</w:t>
      </w:r>
    </w:p>
    <w:p>
      <w:pPr>
        <w:spacing w:before="0" w:line="253" w:lineRule="exact"/>
        <w:ind w:left="1526" w:right="4536"/>
      </w:pPr>
      <w:r>
        <w:rPr>
          <w:rStyle w:val="fontstyle08"/>
          <w:spacing w:val="-1"/>
        </w:rPr>
        <w:t xml:space="preserve">Southeast region. No other regional differences were observed.</w:t>
      </w:r>
    </w:p>
    <w:p>
      <w:pPr>
        <w:spacing w:before="58" w:line="253" w:lineRule="exact"/>
        <w:ind w:left="1166" w:right="1683"/>
      </w:pPr>
      <w:r>
        <w:rPr>
          <w:rStyle w:val="fontstyle16"/>
          <w:spacing w:val="39"/>
        </w:rPr>
        <w:t xml:space="preserve">• </w:t>
      </w:r>
      <w:r>
        <w:rPr>
          <w:rStyle w:val="fontstyle08"/>
          <w:spacing w:val="-1"/>
        </w:rPr>
        <w:t xml:space="preserve">No associations were observed between 2023–2024 student to school psychologist ratio and</w:t>
      </w:r>
    </w:p>
    <w:p>
      <w:pPr>
        <w:spacing w:before="0" w:line="253" w:lineRule="exact"/>
        <w:ind w:left="1526" w:right="1809"/>
      </w:pPr>
      <w:r>
        <w:rPr>
          <w:rStyle w:val="fontstyle08"/>
          <w:spacing w:val="-1"/>
        </w:rPr>
        <w:t xml:space="preserve">territory population, number of school psychology graduate education programs, or average</w:t>
      </w:r>
    </w:p>
    <w:p>
      <w:pPr>
        <w:spacing w:before="0" w:line="251" w:lineRule="exact"/>
        <w:ind w:left="1526" w:right="8097"/>
      </w:pPr>
      <w:r>
        <w:rPr>
          <w:rStyle w:val="fontstyle08"/>
          <w:spacing w:val="-1"/>
        </w:rPr>
        <w:t xml:space="preserve">school psychologist salary.</w:t>
      </w:r>
    </w:p>
    <w:p>
      <w:pPr>
        <w:spacing w:before="1185" w:line="184" w:lineRule="exact"/>
        <w:ind w:left="1166" w:right="1172"/>
      </w:pPr>
      <w:r>
        <w:rPr>
          <w:rStyle w:val="fontstyle02"/>
          <w:spacing w:val="-1"/>
        </w:rPr>
        <w:t xml:space="preserve">NASP Research Reports</w:t>
      </w:r>
      <w:r>
        <w:rPr>
          <w:rStyle w:val="fontstyle02"/>
          <w:spacing w:val="7905"/>
        </w:rPr>
        <w:t xml:space="preserve"> </w:t>
      </w:r>
      <w:r>
        <w:rPr>
          <w:rStyle w:val="fontstyle03"/>
          <w:spacing w:val="-1"/>
        </w:rPr>
        <w:t xml:space="preserve">7</w:t>
      </w:r>
    </w:p>
    <w:p>
      <w:pPr>
        <w:spacing w:before="57" w:line="184" w:lineRule="exact"/>
        <w:ind w:left="1166" w:right="2676"/>
      </w:pPr>
      <w:r>
        <w:rPr>
          <w:rStyle w:val="fontstyle03"/>
          <w:spacing w:val="2"/>
        </w:rPr>
        <w:t xml:space="preserve">©2025 National Association of School Psychologists </w:t>
      </w:r>
      <w:r>
        <w:rPr>
          <w:rStyle w:val="fontstyle04"/>
          <w:spacing w:val="23"/>
        </w:rPr>
        <w:t xml:space="preserve">│ </w:t>
      </w:r>
      <w:r>
        <w:rPr>
          <w:rStyle w:val="fontstyle05"/>
        </w:rPr>
        <w:t xml:space="preserve">w</w:t>
      </w:r>
      <w:r>
        <w:rPr>
          <w:rStyle w:val="fontstyle05"/>
          <w:spacing w:val="2"/>
          <w:u w:val="single"/>
        </w:rPr>
        <w:t xml:space="preserve">ww.nasponline.org</w:t>
      </w:r>
      <w:r>
        <w:rPr>
          <w:rStyle w:val="fontstyle04"/>
          <w:spacing w:val="32"/>
        </w:rPr>
        <w:t xml:space="preserve"> │ </w:t>
      </w:r>
      <w:r>
        <w:rPr>
          <w:rStyle w:val="fontstyle03"/>
          <w:spacing w:val="2"/>
        </w:rPr>
        <w:t xml:space="preserve">301-657-0270 </w:t>
      </w:r>
      <w:r>
        <w:rPr>
          <w:rStyle w:val="fontstyle04"/>
          <w:spacing w:val="24"/>
        </w:rPr>
        <w:t xml:space="preserve">│ </w:t>
      </w:r>
      <w:r>
        <w:rPr>
          <w:rStyle w:val="fontstyle03"/>
          <w:spacing w:val="2"/>
        </w:rPr>
        <w:t xml:space="preserve">866-331-6277</w:t>
      </w:r>
    </w:p>
    <w:p>
      <w:pPr>
        <w:sectPr>
          <w:pgSz w:w="12240" w:h="15840" w:orient="portrait"/>
          <w:pgMar w:top="0" w:right="0" w:bottom="0" w:left="0"/>
        </w:sectPr>
        <w:spacing w:line="1" w:lineRule="exact"/>
      </w:pPr>
    </w:p>
    <w:p>
      <w:pPr>
        <w:spacing w:line="1" w:lineRule="exact"/>
      </w:pPr>
      <w:r>
        <w:rPr>
          <w:noProof/>
        </w:rPr>
        <w:drawing>
          <wp:anchor distT="0" distB="0" distL="0" distR="0" simplePos="0" relativeHeight="74752" behindDoc="1" locked="0" layoutInCell="0" allowOverlap="1" hidden="0">
            <wp:simplePos x="0" y="0"/>
            <wp:positionH relativeFrom="page">
              <wp:posOffset>727074</wp:posOffset>
            </wp:positionH>
            <wp:positionV relativeFrom="page">
              <wp:posOffset>9368790</wp:posOffset>
            </wp:positionV>
            <wp:extent cx="6382385" cy="3"/>
            <wp:effectExtent l="0" t="0" r="0" b="0"/>
            <wp:wrapNone/>
            <wp:docPr id="22" name="Freeform: Shape 22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382385" cy="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6382385" h="0">
                          <a:moveTo>
                            <a:pt x="0" y="0"/>
                          </a:moveTo>
                          <a:lnTo>
                            <a:pt x="6382385" y="0"/>
                          </a:lnTo>
                          <a:close/>
                        </a:path>
                      </a:pathLst>
                    </a:custGeom>
                    <a:noFill/>
                    <a:ln w="9525">
                      <a:solidFill>
                        <a:srgbClr val="000000"/>
                      </a:solidFill>
                    </a:ln>
                  </wps:spPr>
                  <wps:bodyPr/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81920" behindDoc="1" locked="0" layoutInCell="0" allowOverlap="1" hidden="0">
            <wp:simplePos x="0" y="0"/>
            <wp:positionH relativeFrom="page">
              <wp:posOffset>722375</wp:posOffset>
            </wp:positionH>
            <wp:positionV relativeFrom="page">
              <wp:posOffset>7999476</wp:posOffset>
            </wp:positionV>
            <wp:extent cx="6327647" cy="6095"/>
            <wp:effectExtent l="0" t="0" r="0" b="0"/>
            <wp:wrapNone/>
            <wp:docPr id="23" name="Freeform: Shape 23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327647" cy="60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6327647" h="6095">
                          <a:moveTo>
                            <a:pt x="0" y="6095"/>
                          </a:moveTo>
                          <a:lnTo>
                            <a:pt x="6327647" y="6095"/>
                          </a:lnTo>
                          <a:lnTo>
                            <a:pt x="6327647" y="0"/>
                          </a:lnTo>
                          <a:lnTo>
                            <a:pt x="0" y="0"/>
                          </a:lnTo>
                          <a:lnTo>
                            <a:pt x="0" y="6095"/>
                          </a:lnTo>
                          <a:close/>
                        </a:path>
                      </a:pathLst>
                    </a:custGeom>
                    <a:solidFill>
                      <a:srgbClr val="000000"/>
                    </a:solidFill>
                    <a:ln>
                      <a:noFill/>
                    </a:ln>
                  </wps:spPr>
                  <wps:bodyPr/>
                </wps:wsp>
              </a:graphicData>
            </a:graphic>
          </wp:anchor>
        </w:drawing>
      </w:r>
    </w:p>
    <w:p>
      <w:pPr>
        <w:spacing w:before="686" w:line="184" w:lineRule="exact"/>
        <w:ind w:left="1166" w:right="3239"/>
      </w:pPr>
      <w:r>
        <w:rPr>
          <w:rStyle w:val="fontstyle03"/>
          <w:spacing w:val="12"/>
        </w:rPr>
        <w:t xml:space="preserve">Data Brief: 2023–2024 Ratio of Students to FTE School Psychologists in U.S. Public Schools</w:t>
      </w:r>
    </w:p>
    <w:p>
      <w:pPr>
        <w:spacing w:before="371" w:line="298" w:lineRule="exact"/>
        <w:ind w:left="1166" w:right="7665"/>
      </w:pPr>
      <w:r>
        <w:rPr>
          <w:rStyle w:val="fontstyle07"/>
          <w:spacing w:val="-1"/>
        </w:rPr>
        <w:t xml:space="preserve">TECHNICAL INFORMATION</w:t>
      </w:r>
    </w:p>
    <w:p>
      <w:pPr>
        <w:spacing w:before="247" w:line="253" w:lineRule="exact"/>
        <w:ind w:left="1166" w:right="1778"/>
      </w:pPr>
      <w:r>
        <w:rPr>
          <w:rStyle w:val="fontstyle08"/>
          <w:spacing w:val="-1"/>
        </w:rPr>
        <w:t xml:space="preserve">All data for this brief are publicly available as part of the NCES’s </w:t>
      </w:r>
      <w:r>
        <w:rPr>
          <w:rStyle w:val="fontstyle13"/>
          <w:spacing w:val="-1"/>
        </w:rPr>
        <w:t xml:space="preserve">Common Core of Data</w:t>
      </w:r>
      <w:r>
        <w:rPr>
          <w:rStyle w:val="fontstyle08"/>
          <w:spacing w:val="-1"/>
        </w:rPr>
        <w:t xml:space="preserve">(NCES,</w:t>
      </w:r>
    </w:p>
    <w:p>
      <w:pPr>
        <w:spacing w:before="0" w:line="251" w:lineRule="exact"/>
        <w:ind w:left="1166" w:right="1986"/>
      </w:pPr>
      <w:r>
        <w:rPr>
          <w:rStyle w:val="fontstyle08"/>
          <w:spacing w:val="-1"/>
        </w:rPr>
        <w:t xml:space="preserve">2025), the Bureau of Labor Statistics</w:t>
      </w:r>
      <w:r>
        <w:rPr>
          <w:rStyle w:val="fontstyle13"/>
          <w:spacing w:val="-1"/>
        </w:rPr>
        <w:t xml:space="preserve">Occupational Employment and Wages</w:t>
      </w:r>
      <w:r>
        <w:rPr>
          <w:rStyle w:val="fontstyle08"/>
          <w:spacing w:val="-1"/>
        </w:rPr>
        <w:t xml:space="preserve"> (Bureau of Labor</w:t>
      </w:r>
    </w:p>
    <w:p>
      <w:pPr>
        <w:spacing w:before="0" w:line="251" w:lineRule="exact"/>
        <w:ind w:left="1166" w:right="1312"/>
      </w:pPr>
      <w:r>
        <w:rPr>
          <w:rStyle w:val="fontstyle08"/>
          <w:spacing w:val="-1"/>
        </w:rPr>
        <w:t xml:space="preserve">Statistics, 2022), or the</w:t>
      </w:r>
      <w:r>
        <w:rPr>
          <w:rStyle w:val="fontstyle13"/>
          <w:spacing w:val="-1"/>
        </w:rPr>
        <w:t xml:space="preserve">National School Psychology Program Database Survey</w:t>
      </w:r>
      <w:r>
        <w:rPr>
          <w:rStyle w:val="fontstyle08"/>
          <w:spacing w:val="-1"/>
        </w:rPr>
        <w:t xml:space="preserve"> (Gadke et al., 2025).</w:t>
      </w:r>
    </w:p>
    <w:p>
      <w:pPr>
        <w:spacing w:before="0" w:line="253" w:lineRule="exact"/>
        <w:ind w:left="1166" w:right="1178"/>
      </w:pPr>
      <w:r>
        <w:rPr>
          <w:rStyle w:val="fontstyle08"/>
          <w:spacing w:val="-1"/>
        </w:rPr>
        <w:t xml:space="preserve">Ratios were calculated by dividing the number of students by the number of FTE school psychologists</w:t>
      </w:r>
    </w:p>
    <w:p>
      <w:pPr>
        <w:spacing w:before="0" w:line="251" w:lineRule="exact"/>
        <w:ind w:left="1166" w:right="1511"/>
      </w:pPr>
      <w:r>
        <w:rPr>
          <w:rStyle w:val="fontstyle08"/>
          <w:spacing w:val="-1"/>
        </w:rPr>
        <w:t xml:space="preserve">within a territory. To be as inclusive as possible to territories, and not eliminate valid counts, outlier</w:t>
      </w:r>
    </w:p>
    <w:p>
      <w:pPr>
        <w:spacing w:before="0" w:line="253" w:lineRule="exact"/>
        <w:ind w:left="1166" w:right="1731"/>
      </w:pPr>
      <w:r>
        <w:rPr>
          <w:rStyle w:val="fontstyle08"/>
          <w:spacing w:val="-1"/>
        </w:rPr>
        <w:t xml:space="preserve">values were defined as occurring if they were greater than 3 standard deviations from the mean.</w:t>
      </w:r>
    </w:p>
    <w:p>
      <w:pPr>
        <w:spacing w:before="0" w:line="251" w:lineRule="exact"/>
        <w:ind w:left="1166" w:right="2294"/>
      </w:pPr>
      <w:r>
        <w:rPr>
          <w:rStyle w:val="fontstyle08"/>
          <w:spacing w:val="-1"/>
        </w:rPr>
        <w:t xml:space="preserve">Outliers were removed for analyses between territories and regions, but they were kept for</w:t>
      </w:r>
    </w:p>
    <w:p>
      <w:pPr>
        <w:spacing w:before="0" w:line="251" w:lineRule="exact"/>
        <w:ind w:left="1166" w:right="1193"/>
      </w:pPr>
      <w:r>
        <w:rPr>
          <w:rStyle w:val="fontstyle08"/>
          <w:spacing w:val="-1"/>
        </w:rPr>
        <w:t xml:space="preserve">percentage change analyses (i.e., analyses within territories). This affected three territories: Alabama,</w:t>
      </w:r>
    </w:p>
    <w:p>
      <w:pPr>
        <w:spacing w:before="2" w:line="253" w:lineRule="exact"/>
        <w:ind w:left="1166" w:right="8200"/>
      </w:pPr>
      <w:r>
        <w:rPr>
          <w:rStyle w:val="fontstyle08"/>
          <w:spacing w:val="-1"/>
        </w:rPr>
        <w:t xml:space="preserve">Mississippi, and New Mexico.</w:t>
      </w:r>
    </w:p>
    <w:p>
      <w:pPr>
        <w:spacing w:before="197" w:line="253" w:lineRule="exact"/>
        <w:ind w:left="1166" w:right="1206"/>
      </w:pPr>
      <w:r>
        <w:rPr>
          <w:rStyle w:val="fontstyle08"/>
          <w:spacing w:val="-1"/>
        </w:rPr>
        <w:t xml:space="preserve">Other limitations to these data exist. First, some territories did not provide data for specific years used</w:t>
      </w:r>
    </w:p>
    <w:p>
      <w:pPr>
        <w:spacing w:before="0" w:line="251" w:lineRule="exact"/>
        <w:ind w:left="1166" w:right="2451"/>
      </w:pPr>
      <w:r>
        <w:rPr>
          <w:rStyle w:val="fontstyle08"/>
          <w:spacing w:val="-1"/>
        </w:rPr>
        <w:t xml:space="preserve">in the current analyses (e.g., Guam and American Samoa did not report counts of school</w:t>
      </w:r>
    </w:p>
    <w:p>
      <w:pPr>
        <w:spacing w:before="0" w:line="251" w:lineRule="exact"/>
        <w:ind w:left="1166" w:right="1265"/>
      </w:pPr>
      <w:r>
        <w:rPr>
          <w:rStyle w:val="fontstyle08"/>
          <w:spacing w:val="-1"/>
        </w:rPr>
        <w:t xml:space="preserve">psychologists). Second, some territory counts of school psychologists may be inaccurate; however, it</w:t>
      </w:r>
    </w:p>
    <w:p>
      <w:pPr>
        <w:spacing w:before="0" w:line="253" w:lineRule="exact"/>
        <w:ind w:left="1166" w:right="1533"/>
      </w:pPr>
      <w:r>
        <w:rPr>
          <w:rStyle w:val="fontstyle08"/>
          <w:spacing w:val="-1"/>
        </w:rPr>
        <w:t xml:space="preserve">is difficult to ascertain where such errors exist without a separate, comparable data source. Lastly,</w:t>
      </w:r>
    </w:p>
    <w:p>
      <w:pPr>
        <w:spacing w:before="0" w:line="251" w:lineRule="exact"/>
        <w:ind w:left="1166" w:right="1693"/>
      </w:pPr>
      <w:r>
        <w:rPr>
          <w:rStyle w:val="fontstyle08"/>
          <w:spacing w:val="-1"/>
        </w:rPr>
        <w:t xml:space="preserve">counts of school psychologists may not match internally collected data within territories. Territory</w:t>
      </w:r>
    </w:p>
    <w:p>
      <w:pPr>
        <w:spacing w:before="0" w:line="253" w:lineRule="exact"/>
        <w:ind w:left="1166" w:right="1683"/>
      </w:pPr>
      <w:r>
        <w:rPr>
          <w:rStyle w:val="fontstyle08"/>
          <w:spacing w:val="-1"/>
        </w:rPr>
        <w:t xml:space="preserve">representatives can work with their respective CCD coordinators to help rectify any inaccuracies.</w:t>
      </w:r>
    </w:p>
    <w:p>
      <w:pPr>
        <w:spacing w:before="0" w:line="251" w:lineRule="exact"/>
        <w:ind w:left="1166" w:right="1228"/>
      </w:pPr>
      <w:r>
        <w:rPr>
          <w:rStyle w:val="fontstyle08"/>
          <w:spacing w:val="-1"/>
        </w:rPr>
        <w:t xml:space="preserve">Despite these limitations, the level of detail provided with these data would be difficult to obtain if they</w:t>
      </w:r>
    </w:p>
    <w:p>
      <w:pPr>
        <w:spacing w:before="0" w:line="251" w:lineRule="exact"/>
        <w:ind w:left="1166" w:right="1398"/>
      </w:pPr>
      <w:r>
        <w:rPr>
          <w:rStyle w:val="fontstyle08"/>
          <w:spacing w:val="-1"/>
        </w:rPr>
        <w:t xml:space="preserve">were not part of the CCD. The dataset provides a vitally important source of data to understand and</w:t>
      </w:r>
    </w:p>
    <w:p>
      <w:pPr>
        <w:spacing w:before="2" w:line="253" w:lineRule="exact"/>
        <w:ind w:left="1166" w:right="5119"/>
      </w:pPr>
      <w:r>
        <w:rPr>
          <w:rStyle w:val="fontstyle08"/>
          <w:spacing w:val="-1"/>
        </w:rPr>
        <w:t xml:space="preserve">track shortages of school psychologists in each U.S. territory.</w:t>
      </w:r>
    </w:p>
    <w:p>
      <w:pPr>
        <w:spacing w:before="233" w:line="298" w:lineRule="exact"/>
        <w:ind w:left="1166" w:right="9299"/>
      </w:pPr>
      <w:r>
        <w:rPr>
          <w:rStyle w:val="fontstyle07"/>
          <w:spacing w:val="-1"/>
        </w:rPr>
        <w:t xml:space="preserve">REFERENCES</w:t>
      </w:r>
    </w:p>
    <w:p>
      <w:pPr>
        <w:spacing w:before="245" w:line="253" w:lineRule="exact"/>
        <w:ind w:left="1166" w:right="1167"/>
      </w:pPr>
      <w:r>
        <w:rPr>
          <w:rStyle w:val="fontstyle08"/>
          <w:spacing w:val="-1"/>
        </w:rPr>
        <w:t xml:space="preserve">Affrunti, N. W. (2024, May). </w:t>
      </w:r>
      <w:r>
        <w:rPr>
          <w:rStyle w:val="fontstyle13"/>
          <w:spacing w:val="-1"/>
        </w:rPr>
        <w:t xml:space="preserve">2022–2023 ratio of students to full-time equivalent school psychologists in</w:t>
      </w:r>
    </w:p>
    <w:p>
      <w:pPr>
        <w:spacing w:before="0" w:line="251" w:lineRule="exact"/>
        <w:ind w:left="1526" w:right="1329"/>
      </w:pPr>
      <w:r>
        <w:rPr>
          <w:rStyle w:val="fontstyle13"/>
          <w:spacing w:val="-1"/>
        </w:rPr>
        <w:t xml:space="preserve">U.S. public elementary and secondary schools</w:t>
      </w:r>
      <w:r>
        <w:rPr>
          <w:rStyle w:val="fontstyle08"/>
          <w:spacing w:val="-1"/>
        </w:rPr>
        <w:t xml:space="preserve"> [Research report]. National Association of School</w:t>
      </w:r>
    </w:p>
    <w:p>
      <w:pPr>
        <w:spacing w:before="0" w:line="253" w:lineRule="exact"/>
        <w:ind w:left="1526" w:right="3985"/>
      </w:pPr>
      <w:r>
        <w:rPr>
          <w:rStyle w:val="fontstyle08"/>
          <w:spacing w:val="-1"/>
        </w:rPr>
        <w:t xml:space="preserve">Psychologists.</w:t>
      </w:r>
      <w:r>
        <w:rPr>
          <w:rStyle w:val="fontstyle25"/>
          <w:spacing w:val="-1"/>
          <w:u w:val="single"/>
        </w:rPr>
        <w:t xml:space="preserve">https://www.nasponline.org/Documents/Research%20</w:t>
      </w:r>
    </w:p>
    <w:p>
      <w:pPr>
        <w:spacing w:before="0" w:line="251" w:lineRule="exact"/>
        <w:ind w:left="1526" w:right="2531"/>
      </w:pPr>
      <w:r>
        <w:rPr>
          <w:rStyle w:val="fontstyle25"/>
          <w:spacing w:val="-1"/>
          <w:u w:val="single"/>
        </w:rPr>
        <w:t xml:space="preserve">and%20Policy/Research%20Center/2023_RR-DB_Ratio-Students-to-SPs-21-22.pdf</w:t>
      </w:r>
    </w:p>
    <w:p>
      <w:pPr>
        <w:spacing w:before="58" w:line="253" w:lineRule="exact"/>
        <w:ind w:left="1166" w:right="1544"/>
      </w:pPr>
      <w:r>
        <w:rPr>
          <w:rStyle w:val="fontstyle08"/>
          <w:spacing w:val="-1"/>
        </w:rPr>
        <w:t xml:space="preserve">Bureau of Labor Statistics. (2022). </w:t>
      </w:r>
      <w:r>
        <w:rPr>
          <w:rStyle w:val="fontstyle13"/>
          <w:spacing w:val="-1"/>
        </w:rPr>
        <w:t xml:space="preserve">Occupational Employment and Wage Statistics</w:t>
      </w:r>
      <w:r>
        <w:rPr>
          <w:rStyle w:val="fontstyle08"/>
          <w:spacing w:val="-1"/>
        </w:rPr>
        <w:t xml:space="preserve"> [Data set]. U.S.</w:t>
      </w:r>
    </w:p>
    <w:p>
      <w:pPr>
        <w:spacing w:before="0" w:line="253" w:lineRule="exact"/>
        <w:ind w:left="1526" w:right="5186"/>
      </w:pPr>
      <w:r>
        <w:rPr>
          <w:rStyle w:val="fontstyle08"/>
          <w:spacing w:val="-1"/>
        </w:rPr>
        <w:t xml:space="preserve">Department of Labor. </w:t>
      </w:r>
      <w:r>
        <w:rPr>
          <w:rStyle w:val="fontstyle25"/>
          <w:spacing w:val="-1"/>
        </w:rPr>
        <w:t xml:space="preserve">h</w:t>
      </w:r>
      <w:r>
        <w:rPr>
          <w:rStyle w:val="fontstyle25"/>
          <w:spacing w:val="-1"/>
          <w:u w:val="single"/>
        </w:rPr>
        <w:t xml:space="preserve">ttps://www.bls.gov/oes/tables.htm</w:t>
      </w:r>
    </w:p>
    <w:p>
      <w:pPr>
        <w:spacing w:before="58" w:line="253" w:lineRule="exact"/>
        <w:ind w:left="1166" w:right="2143"/>
      </w:pPr>
      <w:r>
        <w:rPr>
          <w:rStyle w:val="fontstyle08"/>
          <w:spacing w:val="-1"/>
        </w:rPr>
        <w:t xml:space="preserve">Gadke, D. L., Sidwell, M. K., Valley-Gray, S., &amp; Rossen, E. (2025). </w:t>
      </w:r>
      <w:r>
        <w:rPr>
          <w:rStyle w:val="fontstyle13"/>
          <w:spacing w:val="-1"/>
        </w:rPr>
        <w:t xml:space="preserve">NASP report of graduate</w:t>
      </w:r>
    </w:p>
    <w:p>
      <w:pPr>
        <w:spacing w:before="0" w:line="253" w:lineRule="exact"/>
        <w:ind w:left="1526" w:right="1586"/>
      </w:pPr>
      <w:r>
        <w:rPr>
          <w:rStyle w:val="fontstyle13"/>
          <w:spacing w:val="-1"/>
        </w:rPr>
        <w:t xml:space="preserve">education in school psychology: 2022–2023</w:t>
      </w:r>
      <w:r>
        <w:rPr>
          <w:rStyle w:val="fontstyle08"/>
          <w:spacing w:val="-1"/>
        </w:rPr>
        <w:t xml:space="preserve">[Research report]. National Association of School</w:t>
      </w:r>
    </w:p>
    <w:p>
      <w:pPr>
        <w:spacing w:before="0" w:line="251" w:lineRule="exact"/>
        <w:ind w:left="1526" w:right="9305"/>
      </w:pPr>
      <w:r>
        <w:rPr>
          <w:rStyle w:val="fontstyle08"/>
          <w:spacing w:val="-1"/>
        </w:rPr>
        <w:t xml:space="preserve">Psychologists.</w:t>
      </w:r>
    </w:p>
    <w:p>
      <w:pPr>
        <w:spacing w:before="58" w:line="253" w:lineRule="exact"/>
        <w:ind w:left="1166" w:right="1875"/>
      </w:pPr>
      <w:r>
        <w:rPr>
          <w:rStyle w:val="fontstyle08"/>
          <w:spacing w:val="-1"/>
        </w:rPr>
        <w:t xml:space="preserve">National Association of School Psychologists. (2020). Standards for the credentialing of school</w:t>
      </w:r>
    </w:p>
    <w:p>
      <w:pPr>
        <w:spacing w:before="0" w:line="253" w:lineRule="exact"/>
        <w:ind w:left="1526" w:right="1197"/>
      </w:pPr>
      <w:r>
        <w:rPr>
          <w:rStyle w:val="fontstyle08"/>
          <w:spacing w:val="-1"/>
        </w:rPr>
        <w:t xml:space="preserve">psychologists. In</w:t>
      </w:r>
      <w:r>
        <w:rPr>
          <w:rStyle w:val="fontstyle13"/>
          <w:spacing w:val="-1"/>
        </w:rPr>
        <w:t xml:space="preserve">The Professional Standards of the National Association of School Psychologists</w:t>
      </w:r>
      <w:r>
        <w:rPr>
          <w:rStyle w:val="fontstyle08"/>
          <w:spacing w:val="-2"/>
        </w:rPr>
        <w:t xml:space="preserve">.</w:t>
      </w:r>
    </w:p>
    <w:p>
      <w:pPr>
        <w:spacing w:before="0" w:line="252" w:lineRule="exact"/>
        <w:ind w:left="1526" w:right="1199"/>
      </w:pPr>
      <w:r>
        <w:rPr>
          <w:rStyle w:val="fontstyle25"/>
          <w:spacing w:val="-1"/>
          <w:u w:val="single"/>
        </w:rPr>
        <w:t xml:space="preserve">https://www.nasponline.org/assets/Documents/Standards%20and%20Certification/Standards/2_C</w:t>
      </w:r>
    </w:p>
    <w:p>
      <w:pPr>
        <w:spacing w:before="0" w:line="253" w:lineRule="exact"/>
        <w:ind w:left="1526" w:right="8085"/>
      </w:pPr>
      <w:r>
        <w:rPr>
          <w:rStyle w:val="fontstyle25"/>
          <w:spacing w:val="-1"/>
          <w:u w:val="single"/>
        </w:rPr>
        <w:t xml:space="preserve">redentialing_Standards.pdf</w:t>
      </w:r>
    </w:p>
    <w:p>
      <w:pPr>
        <w:spacing w:before="58" w:line="253" w:lineRule="exact"/>
        <w:ind w:left="1166" w:right="1220"/>
      </w:pPr>
      <w:r>
        <w:rPr>
          <w:rStyle w:val="fontstyle08"/>
          <w:spacing w:val="-1"/>
        </w:rPr>
        <w:t xml:space="preserve">National Center for Education Statistics. (2025). </w:t>
      </w:r>
      <w:r>
        <w:rPr>
          <w:rStyle w:val="fontstyle13"/>
          <w:spacing w:val="-1"/>
        </w:rPr>
        <w:t xml:space="preserve">Common Core of Data (CCD), State Nonfiscal Public</w:t>
      </w:r>
    </w:p>
    <w:p>
      <w:pPr>
        <w:spacing w:before="0" w:line="253" w:lineRule="exact"/>
        <w:ind w:left="1526" w:right="1369"/>
      </w:pPr>
      <w:r>
        <w:rPr>
          <w:rStyle w:val="fontstyle13"/>
          <w:spacing w:val="-1"/>
        </w:rPr>
        <w:t xml:space="preserve">Elementary/Secondary Education Survey, 2023–2024</w:t>
      </w:r>
      <w:r>
        <w:rPr>
          <w:rStyle w:val="fontstyle08"/>
          <w:spacing w:val="-1"/>
        </w:rPr>
        <w:t xml:space="preserve"> [Data set]. U.S. Department of Education.</w:t>
      </w:r>
    </w:p>
    <w:p>
      <w:pPr>
        <w:spacing w:before="0" w:line="251" w:lineRule="exact"/>
        <w:ind w:left="1526" w:right="7213"/>
      </w:pPr>
      <w:r>
        <w:rPr>
          <w:rStyle w:val="fontstyle25"/>
          <w:spacing w:val="-1"/>
        </w:rPr>
        <w:t xml:space="preserve">h</w:t>
      </w:r>
      <w:r>
        <w:rPr>
          <w:rStyle w:val="fontstyle25"/>
          <w:spacing w:val="-1"/>
          <w:u w:val="single"/>
        </w:rPr>
        <w:t xml:space="preserve">ttps://nces.ed.gov/ccd/ccddata.asp</w:t>
      </w:r>
    </w:p>
    <w:p>
      <w:pPr>
        <w:spacing w:before="58" w:line="253" w:lineRule="exact"/>
        <w:ind w:left="1166" w:right="1377"/>
      </w:pPr>
      <w:r>
        <w:rPr>
          <w:rStyle w:val="fontstyle08"/>
          <w:spacing w:val="-1"/>
        </w:rPr>
        <w:t xml:space="preserve">Tomczak, M., &amp; Tomczak, E. (2014). The need to report effect size estimates revisited. An overview</w:t>
      </w:r>
    </w:p>
    <w:p>
      <w:pPr>
        <w:spacing w:before="0" w:line="253" w:lineRule="exact"/>
        <w:ind w:left="1526" w:right="2521"/>
      </w:pPr>
      <w:r>
        <w:rPr>
          <w:rStyle w:val="fontstyle08"/>
          <w:spacing w:val="-1"/>
        </w:rPr>
        <w:t xml:space="preserve">of some recommended measures of effect size. </w:t>
      </w:r>
      <w:r>
        <w:rPr>
          <w:rStyle w:val="fontstyle13"/>
          <w:spacing w:val="-1"/>
        </w:rPr>
        <w:t xml:space="preserve">Trends in Sport Sciences, 1</w:t>
      </w:r>
      <w:r>
        <w:rPr>
          <w:rStyle w:val="fontstyle08"/>
          <w:spacing w:val="-1"/>
        </w:rPr>
        <w:t xml:space="preserve">, 19–25.</w:t>
      </w:r>
    </w:p>
    <w:p>
      <w:pPr>
        <w:spacing w:before="616" w:line="206" w:lineRule="exact"/>
        <w:ind w:left="1166" w:right="8728"/>
      </w:pPr>
      <w:r>
        <w:rPr>
          <w:rStyle w:val="fontstyle11"/>
          <w:spacing w:val="-1"/>
        </w:rPr>
        <w:t xml:space="preserve">Please cite this document as:</w:t>
      </w:r>
    </w:p>
    <w:p>
      <w:pPr>
        <w:spacing w:before="61" w:line="206" w:lineRule="exact"/>
        <w:ind w:left="1166" w:right="1716"/>
      </w:pPr>
      <w:r>
        <w:rPr>
          <w:rStyle w:val="fontstyle11"/>
          <w:spacing w:val="-1"/>
        </w:rPr>
        <w:t xml:space="preserve">Affrunti, N. W. (2025, April). </w:t>
      </w:r>
      <w:r>
        <w:rPr>
          <w:rStyle w:val="fontstyle26"/>
          <w:spacing w:val="-1"/>
        </w:rPr>
        <w:t xml:space="preserve">2023–2024 Ratio of Students to Full-Time Equivalent School Psychologists in U.S. Public</w:t>
      </w:r>
    </w:p>
    <w:p>
      <w:pPr>
        <w:spacing w:before="0" w:line="206" w:lineRule="exact"/>
        <w:ind w:left="1526" w:right="3186"/>
      </w:pPr>
      <w:r>
        <w:rPr>
          <w:rStyle w:val="fontstyle26"/>
          <w:spacing w:val="-1"/>
        </w:rPr>
        <w:t xml:space="preserve">Elementary and Secondary Schools</w:t>
      </w:r>
      <w:r>
        <w:rPr>
          <w:rStyle w:val="fontstyle11"/>
          <w:spacing w:val="-1"/>
        </w:rPr>
        <w:t xml:space="preserve"> [Data brief]. National Association of School Psychologists.</w:t>
      </w:r>
    </w:p>
    <w:p>
      <w:pPr>
        <w:spacing w:before="1461" w:line="184" w:lineRule="exact"/>
        <w:ind w:left="1166" w:right="1172"/>
      </w:pPr>
      <w:r>
        <w:rPr>
          <w:rStyle w:val="fontstyle02"/>
          <w:spacing w:val="-1"/>
        </w:rPr>
        <w:t xml:space="preserve">NASP Research Reports</w:t>
      </w:r>
      <w:r>
        <w:rPr>
          <w:rStyle w:val="fontstyle02"/>
          <w:spacing w:val="7905"/>
        </w:rPr>
        <w:t xml:space="preserve"> </w:t>
      </w:r>
      <w:r>
        <w:rPr>
          <w:rStyle w:val="fontstyle03"/>
          <w:spacing w:val="-1"/>
        </w:rPr>
        <w:t xml:space="preserve">8</w:t>
      </w:r>
    </w:p>
    <w:p>
      <w:pPr>
        <w:spacing w:before="57" w:line="184" w:lineRule="exact"/>
        <w:ind w:left="1166" w:right="2676"/>
      </w:pPr>
      <w:r>
        <w:rPr>
          <w:rStyle w:val="fontstyle03"/>
          <w:spacing w:val="2"/>
        </w:rPr>
        <w:t xml:space="preserve">©2025 National Association of School Psychologists </w:t>
      </w:r>
      <w:r>
        <w:rPr>
          <w:rStyle w:val="fontstyle04"/>
          <w:spacing w:val="23"/>
        </w:rPr>
        <w:t xml:space="preserve">│ </w:t>
      </w:r>
      <w:r>
        <w:rPr>
          <w:rStyle w:val="fontstyle05"/>
        </w:rPr>
        <w:t xml:space="preserve">w</w:t>
      </w:r>
      <w:r>
        <w:rPr>
          <w:rStyle w:val="fontstyle05"/>
          <w:spacing w:val="2"/>
          <w:u w:val="single"/>
        </w:rPr>
        <w:t xml:space="preserve">ww.nasponline.org</w:t>
      </w:r>
      <w:r>
        <w:rPr>
          <w:rStyle w:val="fontstyle04"/>
          <w:spacing w:val="32"/>
        </w:rPr>
        <w:t xml:space="preserve"> │ </w:t>
      </w:r>
      <w:r>
        <w:rPr>
          <w:rStyle w:val="fontstyle03"/>
          <w:spacing w:val="2"/>
        </w:rPr>
        <w:t xml:space="preserve">301-657-0270 </w:t>
      </w:r>
      <w:r>
        <w:rPr>
          <w:rStyle w:val="fontstyle04"/>
          <w:spacing w:val="24"/>
        </w:rPr>
        <w:t xml:space="preserve">│ </w:t>
      </w:r>
      <w:r>
        <w:rPr>
          <w:rStyle w:val="fontstyle03"/>
          <w:spacing w:val="2"/>
        </w:rPr>
        <w:t xml:space="preserve">866-331-6277</w:t>
      </w:r>
    </w:p>
    <w:sectPr>
      <w:pgSz w:w="12240" w:h="15840" w:orient="portrait"/>
      <w:pgMar w:top="0" w:right="0" w:bottom="0" w:left="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90204"/>
    <w:pitch w:val="variable"/>
    <w:charset w:val="00"/>
    <w:sig w:usb0="E0000EFF" w:usb1="0000785B" w:usb2="00000001" w:usb3="00000000" w:csb0="400001BF" w:csb1="DFF70000"/>
  </w:font>
  <w:font w:name="Arial">
    <w:panose1 w:val="020B0704020202090204"/>
    <w:pitch w:val="variable"/>
    <w:charset w:val="00"/>
    <w:sig w:usb0="E0000EFF" w:usb1="4000785B" w:usb2="00000001" w:usb3="00000000" w:csb0="400001BF" w:csb1="DFF70000"/>
  </w:font>
  <w:font w:name="Arial">
    <w:panose1 w:val="020B0604020202020204"/>
    <w:pitch w:val="variable"/>
    <w:charset w:val="00"/>
    <w:sig w:usb0="E0002EFF" w:usb1="C000785B" w:usb2="00000009" w:usb3="00000000" w:csb0="400001FF" w:csb1="FFFF0000"/>
  </w:font>
  <w:font w:name="Symbol">
    <w:panose1 w:val="05050102010706020507"/>
    <w:pitch w:val="variable"/>
    <w:charset w:val="00"/>
    <w:sig w:usb0="00000000" w:usb1="00000000" w:usb2="00000000" w:usb3="00000000" w:csb0="80000000" w:csb1="00000000"/>
  </w:font>
  <w:font w:name="Arial">
    <w:panose1 w:val="020B0704020202020204"/>
    <w:pitch w:val="variable"/>
    <w:charset w:val="00"/>
    <w:sig w:usb0="E0002EFF" w:usb1="C000785B" w:usb2="00000009" w:usb3="00000000" w:csb0="400001FF" w:csb1="FFFF0000"/>
  </w:font>
  <w:font w:name="Arial">
    <w:panose1 w:val="020B0604020202020204"/>
    <w:pitch w:val="variable"/>
    <w:charset w:val="00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zoom w:percent="100"/>
  <w:defaultTabStop w:val="708"/>
  <w:drawingGridHorizontalSpacing/>
  <w:displayHorizontalDrawingGridEvery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lang w:val="en-US" w:eastAsia="en-US" w:bidi="ar-SA"/>
        <w:rFonts w:eastAsiaTheme="minorHAnsi" w:ascii="Times New Roman" w:hAnsi="Times New Roman" w:cs="Times New Roman"/>
      </w:rPr>
    </w:rPrDefault>
    <w:pPrDefault>
      <w:pPr/>
    </w:pPrDefault>
  </w:docDefaults>
  <w:latentStyles w:defLockedState="false" w:defUIPriority="99" w:defSemiHidden="true" w:defUnhideWhenUsed="true" w:defQFormat="false" w:count="267">
    <w:lsdException w:name="Normal" w:semiHidden="false" w:uiPriority="0" w:unhideWhenUsed="false"/>
    <w:lsdException w:name="heading 1" w:semiHidden="false" w:uiPriority="9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semiHidden="false" w:uiPriority="10" w:unhideWhenUsed="false" w:qFormat="true"/>
    <w:lsdException w:name="Default Paragraph Font" w:uiPriority="1"/>
    <w:lsdException w:name="Subtitle" w:semiHidden="false" w:uiPriority="11" w:unhideWhenUsed="false" w:qFormat="true"/>
    <w:lsdException w:name="Strong" w:semiHidden="false" w:uiPriority="22" w:unhideWhenUsed="false" w:qFormat="true"/>
    <w:lsdException w:name="Emphasis" w:semiHidden="false" w:uiPriority="20" w:unhideWhenUsed="false" w:qFormat="true"/>
    <w:lsdException w:name="Table Grid" w:semiHidden="false" w:uiPriority="59" w:unhideWhenUsed="false"/>
    <w:lsdException w:name="Placeholder Text" w:unhideWhenUsed="false"/>
    <w:lsdException w:name="No Spacing" w:semiHidden="false" w:uiPriority="1" w:unhideWhenUsed="false" w:qFormat="true"/>
    <w:lsdException w:name="Light Shading" w:semiHidden="false" w:uiPriority="60" w:unhideWhenUsed="false"/>
    <w:lsdException w:name="Light List" w:semiHidden="false" w:uiPriority="61" w:unhideWhenUsed="false"/>
    <w:lsdException w:name="Light Grid" w:semiHidden="false" w:uiPriority="62" w:unhideWhenUsed="false"/>
    <w:lsdException w:name="Medium Shading 1" w:semiHidden="false" w:uiPriority="63" w:unhideWhenUsed="false"/>
    <w:lsdException w:name="Medium Shading 2" w:semiHidden="false" w:uiPriority="64" w:unhideWhenUsed="false"/>
    <w:lsdException w:name="Medium List 1" w:semiHidden="false" w:uiPriority="65" w:unhideWhenUsed="false"/>
    <w:lsdException w:name="Medium List 2" w:semiHidden="false" w:uiPriority="66" w:unhideWhenUsed="false"/>
    <w:lsdException w:name="Medium Grid 1" w:semiHidden="false" w:uiPriority="67" w:unhideWhenUsed="false"/>
    <w:lsdException w:name="Medium Grid 2" w:semiHidden="false" w:uiPriority="68" w:unhideWhenUsed="false"/>
    <w:lsdException w:name="Medium Grid 3" w:semiHidden="false" w:uiPriority="69" w:unhideWhenUsed="false"/>
    <w:lsdException w:name="Dark List" w:semiHidden="false" w:uiPriority="70" w:unhideWhenUsed="false"/>
    <w:lsdException w:name="Colorful Shading" w:semiHidden="false" w:uiPriority="71" w:unhideWhenUsed="false"/>
    <w:lsdException w:name="Colorful List" w:semiHidden="false" w:uiPriority="72" w:unhideWhenUsed="false"/>
    <w:lsdException w:name="Colorful Grid" w:semiHidden="false" w:uiPriority="73" w:unhideWhenUsed="false"/>
    <w:lsdException w:name="Light Shading Accent 1" w:semiHidden="false" w:uiPriority="60" w:unhideWhenUsed="false"/>
    <w:lsdException w:name="Light List Accent 1" w:semiHidden="false" w:uiPriority="61" w:unhideWhenUsed="false"/>
    <w:lsdException w:name="Light Grid Accent 1" w:semiHidden="false" w:uiPriority="62" w:unhideWhenUsed="false"/>
    <w:lsdException w:name="Medium Shading 1 Accent 1" w:semiHidden="false" w:uiPriority="63" w:unhideWhenUsed="false"/>
    <w:lsdException w:name="Medium Shading 2 Accent 1" w:semiHidden="false" w:uiPriority="64" w:unhideWhenUsed="false"/>
    <w:lsdException w:name="Medium List 1 Accent 1" w:semiHidden="false" w:uiPriority="65" w:unhideWhenUsed="false"/>
    <w:lsdException w:name="Revision" w:unhideWhenUsed="false"/>
    <w:lsdException w:name="List Paragraph" w:semiHidden="false" w:uiPriority="34" w:unhideWhenUsed="false" w:qFormat="true"/>
    <w:lsdException w:name="Quote" w:semiHidden="false" w:uiPriority="29" w:unhideWhenUsed="false" w:qFormat="true"/>
    <w:lsdException w:name="Intense Quote" w:semiHidden="false" w:uiPriority="30" w:unhideWhenUsed="false" w:qFormat="true"/>
    <w:lsdException w:name="Medium List 2 Accent 1" w:semiHidden="false" w:uiPriority="66" w:unhideWhenUsed="false"/>
    <w:lsdException w:name="Medium Grid 1 Accent 1" w:semiHidden="false" w:uiPriority="67" w:unhideWhenUsed="false"/>
    <w:lsdException w:name="Medium Grid 2 Accent 1" w:semiHidden="false" w:uiPriority="68" w:unhideWhenUsed="false"/>
    <w:lsdException w:name="Medium Grid 3 Accent 1" w:semiHidden="false" w:uiPriority="69" w:unhideWhenUsed="false"/>
    <w:lsdException w:name="Dark List Accent 1" w:semiHidden="false" w:uiPriority="70" w:unhideWhenUsed="false"/>
    <w:lsdException w:name="Colorful Shading Accent 1" w:semiHidden="false" w:uiPriority="71" w:unhideWhenUsed="false"/>
    <w:lsdException w:name="Colorful List Accent 1" w:semiHidden="false" w:uiPriority="72" w:unhideWhenUsed="false"/>
    <w:lsdException w:name="Colorful Grid Accent 1" w:semiHidden="false" w:uiPriority="73" w:unhideWhenUsed="false"/>
    <w:lsdException w:name="Light Shading Accent 2" w:semiHidden="false" w:uiPriority="60" w:unhideWhenUsed="false"/>
    <w:lsdException w:name="Light List Accent 2" w:semiHidden="false" w:uiPriority="61" w:unhideWhenUsed="false"/>
    <w:lsdException w:name="Light Grid Accent 2" w:semiHidden="false" w:uiPriority="62" w:unhideWhenUsed="false"/>
    <w:lsdException w:name="Medium Shading 1 Accent 2" w:semiHidden="false" w:uiPriority="63" w:unhideWhenUsed="false"/>
    <w:lsdException w:name="Medium Shading 2 Accent 2" w:semiHidden="false" w:uiPriority="64" w:unhideWhenUsed="false"/>
    <w:lsdException w:name="Medium List 1 Accent 2" w:semiHidden="false" w:uiPriority="65" w:unhideWhenUsed="false"/>
    <w:lsdException w:name="Medium List 2 Accent 2" w:semiHidden="false" w:uiPriority="66" w:unhideWhenUsed="false"/>
    <w:lsdException w:name="Medium Grid 1 Accent 2" w:semiHidden="false" w:uiPriority="67" w:unhideWhenUsed="false"/>
    <w:lsdException w:name="Medium Grid 2 Accent 2" w:semiHidden="false" w:uiPriority="68" w:unhideWhenUsed="false"/>
    <w:lsdException w:name="Medium Grid 3 Accent 2" w:semiHidden="false" w:uiPriority="69" w:unhideWhenUsed="false"/>
    <w:lsdException w:name="Dark List Accent 2" w:semiHidden="false" w:uiPriority="70" w:unhideWhenUsed="false"/>
    <w:lsdException w:name="Colorful Shading Accent 2" w:semiHidden="false" w:uiPriority="71" w:unhideWhenUsed="false"/>
    <w:lsdException w:name="Colorful List Accent 2" w:semiHidden="false" w:uiPriority="72" w:unhideWhenUsed="false"/>
    <w:lsdException w:name="Colorful Grid Accent 2" w:semiHidden="false" w:uiPriority="73" w:unhideWhenUsed="false"/>
    <w:lsdException w:name="Light Shading Accent 3" w:semiHidden="false" w:uiPriority="60" w:unhideWhenUsed="false"/>
    <w:lsdException w:name="Light List Accent 3" w:semiHidden="false" w:uiPriority="61" w:unhideWhenUsed="false"/>
    <w:lsdException w:name="Light Grid Accent 3" w:semiHidden="false" w:uiPriority="62" w:unhideWhenUsed="false"/>
    <w:lsdException w:name="Medium Shading 1 Accent 3" w:semiHidden="false" w:uiPriority="63" w:unhideWhenUsed="false"/>
    <w:lsdException w:name="Medium Shading 2 Accent 3" w:semiHidden="false" w:uiPriority="64" w:unhideWhenUsed="false"/>
    <w:lsdException w:name="Medium List 1 Accent 3" w:semiHidden="false" w:uiPriority="65" w:unhideWhenUsed="false"/>
    <w:lsdException w:name="Medium List 2 Accent 3" w:semiHidden="false" w:uiPriority="66" w:unhideWhenUsed="false"/>
    <w:lsdException w:name="Medium Grid 1 Accent 3" w:semiHidden="false" w:uiPriority="67" w:unhideWhenUsed="false"/>
    <w:lsdException w:name="Medium Grid 2 Accent 3" w:semiHidden="false" w:uiPriority="68" w:unhideWhenUsed="false"/>
    <w:lsdException w:name="Medium Grid 3 Accent 3" w:semiHidden="false" w:uiPriority="69" w:unhideWhenUsed="false"/>
    <w:lsdException w:name="Dark List Accent 3" w:semiHidden="false" w:uiPriority="70" w:unhideWhenUsed="false"/>
    <w:lsdException w:name="Colorful Shading Accent 3" w:semiHidden="false" w:uiPriority="71" w:unhideWhenUsed="false"/>
    <w:lsdException w:name="Colorful List Accent 3" w:semiHidden="false" w:uiPriority="72" w:unhideWhenUsed="false"/>
    <w:lsdException w:name="Colorful Grid Accent 3" w:semiHidden="false" w:uiPriority="73" w:unhideWhenUsed="false"/>
    <w:lsdException w:name="Light Shading Accent 4" w:semiHidden="false" w:uiPriority="60" w:unhideWhenUsed="false"/>
    <w:lsdException w:name="Light List Accent 4" w:semiHidden="false" w:uiPriority="61" w:unhideWhenUsed="false"/>
    <w:lsdException w:name="Light Grid Accent 4" w:semiHidden="false" w:uiPriority="62" w:unhideWhenUsed="false"/>
    <w:lsdException w:name="Medium Shading 1 Accent 4" w:semiHidden="false" w:uiPriority="63" w:unhideWhenUsed="false"/>
    <w:lsdException w:name="Medium Shading 2 Accent 4" w:semiHidden="false" w:uiPriority="64" w:unhideWhenUsed="false"/>
    <w:lsdException w:name="Medium List 1 Accent 4" w:semiHidden="false" w:uiPriority="65" w:unhideWhenUsed="false"/>
    <w:lsdException w:name="Medium List 2 Accent 4" w:semiHidden="false" w:uiPriority="66" w:unhideWhenUsed="false"/>
    <w:lsdException w:name="Medium Grid 1 Accent 4" w:semiHidden="false" w:uiPriority="67" w:unhideWhenUsed="false"/>
    <w:lsdException w:name="Medium Grid 2 Accent 4" w:semiHidden="false" w:uiPriority="68" w:unhideWhenUsed="false"/>
    <w:lsdException w:name="Medium Grid 3 Accent 4" w:semiHidden="false" w:uiPriority="69" w:unhideWhenUsed="false"/>
    <w:lsdException w:name="Dark List Accent 4" w:semiHidden="false" w:uiPriority="70" w:unhideWhenUsed="false"/>
    <w:lsdException w:name="Colorful Shading Accent 4" w:semiHidden="false" w:uiPriority="71" w:unhideWhenUsed="false"/>
    <w:lsdException w:name="Colorful List Accent 4" w:semiHidden="false" w:uiPriority="72" w:unhideWhenUsed="false"/>
    <w:lsdException w:name="Colorful Grid Accent 4" w:semiHidden="false" w:uiPriority="73" w:unhideWhenUsed="false"/>
    <w:lsdException w:name="Light Shading Accent 5" w:semiHidden="false" w:uiPriority="60" w:unhideWhenUsed="false"/>
    <w:lsdException w:name="Light List Accent 5" w:semiHidden="false" w:uiPriority="61" w:unhideWhenUsed="false"/>
    <w:lsdException w:name="Light Grid Accent 5" w:semiHidden="false" w:uiPriority="62" w:unhideWhenUsed="false"/>
    <w:lsdException w:name="Medium Shading 1 Accent 5" w:semiHidden="false" w:uiPriority="63" w:unhideWhenUsed="false"/>
    <w:lsdException w:name="Medium Shading 2 Accent 5" w:semiHidden="false" w:uiPriority="64" w:unhideWhenUsed="false"/>
    <w:lsdException w:name="Medium List 1 Accent 5" w:semiHidden="false" w:uiPriority="65" w:unhideWhenUsed="false"/>
    <w:lsdException w:name="Medium List 2 Accent 5" w:semiHidden="false" w:uiPriority="66" w:unhideWhenUsed="false"/>
    <w:lsdException w:name="Medium Grid 1 Accent 5" w:semiHidden="false" w:uiPriority="67" w:unhideWhenUsed="false"/>
    <w:lsdException w:name="Medium Grid 2 Accent 5" w:semiHidden="false" w:uiPriority="68" w:unhideWhenUsed="false"/>
    <w:lsdException w:name="Medium Grid 3 Accent 5" w:semiHidden="false" w:uiPriority="69" w:unhideWhenUsed="false"/>
    <w:lsdException w:name="Dark List Accent 5" w:semiHidden="false" w:uiPriority="70" w:unhideWhenUsed="false"/>
    <w:lsdException w:name="Colorful Shading Accent 5" w:semiHidden="false" w:uiPriority="71" w:unhideWhenUsed="false"/>
    <w:lsdException w:name="Colorful List Accent 5" w:semiHidden="false" w:uiPriority="72" w:unhideWhenUsed="false"/>
    <w:lsdException w:name="Colorful Grid Accent 5" w:semiHidden="false" w:uiPriority="73" w:unhideWhenUsed="false"/>
    <w:lsdException w:name="Light Shading Accent 6" w:semiHidden="false" w:uiPriority="60" w:unhideWhenUsed="false"/>
    <w:lsdException w:name="Light List Accent 6" w:semiHidden="false" w:uiPriority="61" w:unhideWhenUsed="false"/>
    <w:lsdException w:name="Light Grid Accent 6" w:semiHidden="false" w:uiPriority="62" w:unhideWhenUsed="false"/>
    <w:lsdException w:name="Medium Shading 1 Accent 6" w:semiHidden="false" w:uiPriority="63" w:unhideWhenUsed="false"/>
    <w:lsdException w:name="Medium Shading 2 Accent 6" w:semiHidden="false" w:uiPriority="64" w:unhideWhenUsed="false"/>
    <w:lsdException w:name="Medium List 1 Accent 6" w:semiHidden="false" w:uiPriority="65" w:unhideWhenUsed="false"/>
    <w:lsdException w:name="Medium List 2 Accent 6" w:semiHidden="false" w:uiPriority="66" w:unhideWhenUsed="false"/>
    <w:lsdException w:name="Medium Grid 1 Accent 6" w:semiHidden="false" w:uiPriority="67" w:unhideWhenUsed="false"/>
    <w:lsdException w:name="Medium Grid 2 Accent 6" w:semiHidden="false" w:uiPriority="68" w:unhideWhenUsed="false"/>
    <w:lsdException w:name="Medium Grid 3 Accent 6" w:semiHidden="false" w:uiPriority="69" w:unhideWhenUsed="false"/>
    <w:lsdException w:name="Dark List Accent 6" w:semiHidden="false" w:uiPriority="70" w:unhideWhenUsed="false"/>
    <w:lsdException w:name="Colorful Shading Accent 6" w:semiHidden="false" w:uiPriority="71" w:unhideWhenUsed="false"/>
    <w:lsdException w:name="Colorful List Accent 6" w:semiHidden="false" w:uiPriority="72" w:unhideWhenUsed="false"/>
    <w:lsdException w:name="Colorful Grid Accent 6" w:semiHidden="false" w:uiPriority="73" w:unhideWhenUsed="false"/>
    <w:lsdException w:name="Subtle Emphasis" w:semiHidden="false" w:uiPriority="19" w:unhideWhenUsed="false" w:qFormat="true"/>
    <w:lsdException w:name="Intense Emphasis" w:semiHidden="false" w:uiPriority="21" w:unhideWhenUsed="false" w:qFormat="true"/>
    <w:lsdException w:name="Subtle Reference" w:semiHidden="false" w:uiPriority="31" w:unhideWhenUsed="false" w:qFormat="true"/>
    <w:lsdException w:name="Intense Reference" w:semiHidden="false" w:uiPriority="32" w:unhideWhenUsed="false" w:qFormat="true"/>
    <w:lsdException w:name="Book Title" w:semiHidden="false" w:uiPriority="33" w:unhideWhenUsed="false" w:qFormat="true"/>
    <w:lsdException w:name="Bibliography" w:uiPriority="37"/>
    <w:lsdException w:name="TOC Heading" w:uiPriority="39" w:qFormat="true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  <w:noProof/>
    <w:b w:val="0"/>
    <w:bCs w:val="0"/>
    <w:i w:val="0"/>
    <w:iCs w:val="0"/>
    <w:color w:val="111111"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uiPriority w:val="99"/>
  </w:style>
  <w:style w:type="character" w:customStyle="1" w:styleId="fontstyle01">
    <w:name w:val="fontstyle01"/>
    <w:basedOn w:val="DefaultParagraphFont"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fontstyle02">
    <w:name w:val="fontstyle02"/>
    <w:basedOn w:val="DefaultParagraphFont"/>
    <w:rPr>
      <w:rFonts w:ascii="Arial" w:hAnsi="Arial" w:cs="Arial" w:hint="default"/>
      <w:b/>
      <w:bCs/>
      <w:color w:val="000000"/>
      <w:sz w:val="16"/>
      <w:szCs w:val="16"/>
    </w:rPr>
  </w:style>
  <w:style w:type="character" w:customStyle="1" w:styleId="fontstyle03">
    <w:name w:val="fontstyle03"/>
    <w:basedOn w:val="DefaultParagraphFont"/>
    <w:rPr>
      <w:rFonts w:ascii="Arial" w:hAnsi="Arial" w:cs="Arial" w:hint="default"/>
      <w:color w:val="000000"/>
      <w:sz w:val="16"/>
      <w:szCs w:val="16"/>
    </w:rPr>
  </w:style>
  <w:style w:type="character" w:customStyle="1" w:styleId="fontstyle04">
    <w:name w:val="fontstyle04"/>
    <w:basedOn w:val="DefaultParagraphFont"/>
    <w:rPr>
      <w:rFonts w:ascii="Arial" w:hAnsi="Arial" w:cs="Arial" w:hint="default"/>
      <w:color w:val="000000"/>
      <w:sz w:val="16"/>
      <w:szCs w:val="16"/>
    </w:rPr>
  </w:style>
  <w:style w:type="character" w:customStyle="1" w:styleId="fontstyle05">
    <w:name w:val="fontstyle05"/>
    <w:basedOn w:val="DefaultParagraphFont"/>
    <w:rPr>
      <w:rFonts w:ascii="Arial" w:hAnsi="Arial" w:cs="Arial" w:hint="default"/>
      <w:color w:val="0000FF"/>
      <w:sz w:val="16"/>
      <w:szCs w:val="16"/>
    </w:rPr>
  </w:style>
  <w:style w:type="character" w:customStyle="1" w:styleId="fontstyle06">
    <w:name w:val="fontstyle06"/>
    <w:basedOn w:val="DefaultParagraphFont"/>
    <w:rPr>
      <w:rFonts w:ascii="Arial" w:hAnsi="Arial" w:cs="Arial" w:hint="default"/>
      <w:b/>
      <w:bCs/>
      <w:color w:val="000000"/>
      <w:sz w:val="31"/>
      <w:szCs w:val="31"/>
    </w:rPr>
  </w:style>
  <w:style w:type="character" w:customStyle="1" w:styleId="fontstyle07">
    <w:name w:val="fontstyle07"/>
    <w:basedOn w:val="DefaultParagraphFont"/>
    <w:rPr>
      <w:rFonts w:ascii="Arial" w:hAnsi="Arial" w:cs="Arial" w:hint="default"/>
      <w:b/>
      <w:bCs/>
      <w:color w:val="000000"/>
      <w:sz w:val="25"/>
      <w:szCs w:val="25"/>
    </w:rPr>
  </w:style>
  <w:style w:type="character" w:customStyle="1" w:styleId="fontstyle08">
    <w:name w:val="fontstyle08"/>
    <w:basedOn w:val="DefaultParagraphFont"/>
    <w:rPr>
      <w:rFonts w:ascii="Arial" w:hAnsi="Arial" w:cs="Arial" w:hint="default"/>
      <w:color w:val="000000"/>
      <w:sz w:val="22"/>
      <w:szCs w:val="22"/>
    </w:rPr>
  </w:style>
  <w:style w:type="character" w:customStyle="1" w:styleId="fontstyle09">
    <w:name w:val="fontstyle09"/>
    <w:basedOn w:val="DefaultParagraphFont"/>
    <w:rPr>
      <w:rFonts w:ascii="Arial" w:hAnsi="Arial" w:cs="Arial" w:hint="default"/>
      <w:i/>
      <w:iCs/>
      <w:color w:val="000000"/>
      <w:sz w:val="19"/>
      <w:szCs w:val="19"/>
    </w:rPr>
  </w:style>
  <w:style w:type="character" w:customStyle="1" w:styleId="fontstyle10">
    <w:name w:val="fontstyle10"/>
    <w:basedOn w:val="DefaultParagraphFont"/>
    <w:rPr>
      <w:rFonts w:ascii="Arial" w:hAnsi="Arial" w:cs="Arial" w:hint="default"/>
      <w:color w:val="000000"/>
      <w:sz w:val="19"/>
      <w:szCs w:val="19"/>
    </w:rPr>
  </w:style>
  <w:style w:type="character" w:customStyle="1" w:styleId="fontstyle11">
    <w:name w:val="fontstyle11"/>
    <w:basedOn w:val="DefaultParagraphFont"/>
    <w:rPr>
      <w:rFonts w:ascii="Arial" w:hAnsi="Arial" w:cs="Arial" w:hint="default"/>
      <w:color w:val="000000"/>
      <w:sz w:val="18"/>
      <w:szCs w:val="18"/>
    </w:rPr>
  </w:style>
  <w:style w:type="character" w:customStyle="1" w:styleId="fontstyle12">
    <w:name w:val="fontstyle12"/>
    <w:basedOn w:val="DefaultParagraphFont"/>
    <w:rPr>
      <w:rFonts w:ascii="Arial" w:hAnsi="Arial" w:cs="Arial" w:hint="default"/>
      <w:color w:val="0000FF"/>
      <w:sz w:val="18"/>
      <w:szCs w:val="18"/>
    </w:rPr>
  </w:style>
  <w:style w:type="character" w:customStyle="1" w:styleId="fontstyle13">
    <w:name w:val="fontstyle13"/>
    <w:basedOn w:val="DefaultParagraphFont"/>
    <w:rPr>
      <w:rFonts w:ascii="Arial" w:hAnsi="Arial" w:cs="Arial" w:hint="default"/>
      <w:i/>
      <w:iCs/>
      <w:color w:val="000000"/>
      <w:sz w:val="22"/>
      <w:szCs w:val="22"/>
    </w:rPr>
  </w:style>
  <w:style w:type="character" w:customStyle="1" w:styleId="fontstyle14">
    <w:name w:val="fontstyle14"/>
    <w:basedOn w:val="DefaultParagraphFont"/>
    <w:rPr>
      <w:rFonts w:ascii="Arial" w:hAnsi="Arial" w:cs="Arial" w:hint="default"/>
      <w:b/>
      <w:bCs/>
      <w:color w:val="000000"/>
      <w:sz w:val="19"/>
      <w:szCs w:val="19"/>
    </w:rPr>
  </w:style>
  <w:style w:type="character" w:customStyle="1" w:styleId="fontstyle15">
    <w:name w:val="fontstyle15"/>
    <w:basedOn w:val="DefaultParagraphFont"/>
    <w:rPr>
      <w:rFonts w:ascii="Arial" w:hAnsi="Arial" w:cs="Arial" w:hint="default"/>
      <w:b/>
      <w:bCs/>
      <w:i/>
      <w:iCs/>
      <w:color w:val="000000"/>
      <w:sz w:val="19"/>
      <w:szCs w:val="19"/>
    </w:rPr>
  </w:style>
  <w:style w:type="character" w:customStyle="1" w:styleId="fontstyle16">
    <w:name w:val="fontstyle16"/>
    <w:basedOn w:val="DefaultParagraphFont"/>
    <w:rPr>
      <w:rFonts w:ascii="Symbol" w:hAnsi="Symbol" w:cs="Symbol" w:hint="default"/>
      <w:color w:val="000000"/>
      <w:sz w:val="19"/>
      <w:szCs w:val="19"/>
    </w:rPr>
  </w:style>
  <w:style w:type="character" w:customStyle="1" w:styleId="fontstyle17">
    <w:name w:val="fontstyle17"/>
    <w:basedOn w:val="DefaultParagraphFont"/>
    <w:rPr>
      <w:rFonts w:ascii="Arial" w:hAnsi="Arial" w:cs="Arial" w:hint="default"/>
      <w:color w:val="000000"/>
      <w:sz w:val="22"/>
      <w:szCs w:val="22"/>
    </w:rPr>
  </w:style>
  <w:style w:type="character" w:customStyle="1" w:styleId="fontstyle18">
    <w:name w:val="fontstyle18"/>
    <w:basedOn w:val="DefaultParagraphFont"/>
    <w:rPr>
      <w:rFonts w:ascii="Arial" w:hAnsi="Arial" w:cs="Arial" w:hint="default"/>
      <w:color w:val="000000"/>
      <w:sz w:val="13"/>
      <w:szCs w:val="13"/>
    </w:rPr>
  </w:style>
  <w:style w:type="character" w:customStyle="1" w:styleId="fontstyle19">
    <w:name w:val="fontstyle19"/>
    <w:basedOn w:val="DefaultParagraphFont"/>
    <w:rPr>
      <w:rFonts w:ascii="Arial" w:hAnsi="Arial" w:cs="Arial" w:hint="default"/>
      <w:b/>
      <w:bCs/>
      <w:color w:val="000000"/>
      <w:sz w:val="22"/>
      <w:szCs w:val="22"/>
    </w:rPr>
  </w:style>
  <w:style w:type="character" w:customStyle="1" w:styleId="fontstyle20">
    <w:name w:val="fontstyle20"/>
    <w:basedOn w:val="DefaultParagraphFont"/>
    <w:rPr>
      <w:rFonts w:ascii="Arial" w:hAnsi="Arial" w:cs="Arial" w:hint="default"/>
      <w:b/>
      <w:bCs/>
      <w:color w:val="000000"/>
      <w:sz w:val="24"/>
      <w:szCs w:val="24"/>
    </w:rPr>
  </w:style>
  <w:style w:type="character" w:customStyle="1" w:styleId="fontstyle21">
    <w:name w:val="fontstyle21"/>
    <w:basedOn w:val="DefaultParagraphFont"/>
    <w:rPr>
      <w:rFonts w:ascii="Arial" w:hAnsi="Arial" w:cs="Arial" w:hint="default"/>
      <w:color w:val="000000"/>
      <w:sz w:val="24"/>
      <w:szCs w:val="24"/>
    </w:rPr>
  </w:style>
  <w:style w:type="character" w:customStyle="1" w:styleId="fontstyle22">
    <w:name w:val="fontstyle22"/>
    <w:basedOn w:val="DefaultParagraphFont"/>
    <w:rPr>
      <w:rFonts w:ascii="Arial" w:hAnsi="Arial" w:cs="Arial" w:hint="default"/>
      <w:i/>
      <w:iCs/>
      <w:color w:val="000000"/>
      <w:sz w:val="18"/>
      <w:szCs w:val="18"/>
    </w:rPr>
  </w:style>
  <w:style w:type="character" w:customStyle="1" w:styleId="fontstyle23">
    <w:name w:val="fontstyle23"/>
    <w:basedOn w:val="DefaultParagraphFont"/>
    <w:rPr>
      <w:rFonts w:ascii="Arial" w:hAnsi="Arial" w:cs="Arial" w:hint="default"/>
      <w:b/>
      <w:bCs/>
      <w:color w:val="333333"/>
      <w:sz w:val="24"/>
      <w:szCs w:val="24"/>
    </w:rPr>
  </w:style>
  <w:style w:type="character" w:customStyle="1" w:styleId="fontstyle24">
    <w:name w:val="fontstyle24"/>
    <w:basedOn w:val="DefaultParagraphFont"/>
    <w:rPr>
      <w:rFonts w:ascii="Arial" w:hAnsi="Arial" w:cs="Arial" w:hint="default"/>
      <w:color w:val="333333"/>
      <w:sz w:val="24"/>
      <w:szCs w:val="24"/>
    </w:rPr>
  </w:style>
  <w:style w:type="character" w:customStyle="1" w:styleId="fontstyle25">
    <w:name w:val="fontstyle25"/>
    <w:basedOn w:val="DefaultParagraphFont"/>
    <w:rPr>
      <w:rFonts w:ascii="Arial" w:hAnsi="Arial" w:cs="Arial" w:hint="default"/>
      <w:color w:val="0000FF"/>
      <w:sz w:val="22"/>
      <w:szCs w:val="22"/>
    </w:rPr>
  </w:style>
  <w:style w:type="character" w:customStyle="1" w:styleId="fontstyle26">
    <w:name w:val="fontstyle26"/>
    <w:basedOn w:val="DefaultParagraphFont"/>
    <w:rPr>
      <w:rFonts w:ascii="Arial" w:hAnsi="Arial" w:cs="Arial" w:hint="default"/>
      <w:i/>
      <w:iCs/>
      <w:color w:val="000000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.xml"/><Relationship Id="rId11" Type="http://schemas.openxmlformats.org/officeDocument/2006/relationships/image" Target="media/image5.png"/><Relationship Id="rId9" Type="http://schemas.openxmlformats.org/officeDocument/2006/relationships/image" Target="media/image3.jpg"/><Relationship Id="rId13" Type="http://schemas.openxmlformats.org/officeDocument/2006/relationships/image" Target="media/image7.jpg"/><Relationship Id="rId12" Type="http://schemas.openxmlformats.org/officeDocument/2006/relationships/image" Target="media/image6.jpg"/><Relationship Id="rId7" Type="http://schemas.openxmlformats.org/officeDocument/2006/relationships/image" Target="media/image1.jpg"/><Relationship Id="rId10" Type="http://schemas.openxmlformats.org/officeDocument/2006/relationships/image" Target="media/image4.jpg"/><Relationship Id="rId8" Type="http://schemas.openxmlformats.org/officeDocument/2006/relationships/image" Target="media/image2.jpg"/></Relationships>
</file>

<file path=word/theme/theme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>
  <Template>Normal.dotm</Template>
  <TotalTime>1</TotalTime>
  <Pages>1</Pages>
  <Words>0</Words>
  <Characters>0</Characters>
  <Application>ONLYOFFICE/8.0.1.31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>
  <dc:title/>
  <dc:subject/>
  <dc:creator/>
  <cp:keywords/>
  <dc:description/>
  <cp:lastModifiedBy/>
  <cp:revision>1</cp:revision>
</cp:coreProperties>
</file>